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F3C83" w14:textId="5EC28320" w:rsidR="00FD470F" w:rsidRDefault="003201CE">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西大数学与统计学院《概率论与数理统计》</w:t>
      </w:r>
      <w:r w:rsidR="00000000">
        <w:rPr>
          <w:rFonts w:ascii="黑体" w:eastAsia="黑体" w:hAnsi="黑体" w:hint="eastAsia"/>
          <w:b/>
          <w:bCs/>
          <w:color w:val="000000"/>
          <w:sz w:val="32"/>
          <w:szCs w:val="32"/>
        </w:rPr>
        <w:t>课程建设项目</w:t>
      </w:r>
    </w:p>
    <w:p w14:paraId="39212ACF" w14:textId="77777777" w:rsidR="00FD470F" w:rsidRDefault="00000000">
      <w:pPr>
        <w:spacing w:line="480" w:lineRule="exact"/>
        <w:jc w:val="center"/>
        <w:rPr>
          <w:rFonts w:ascii="黑体" w:eastAsia="黑体" w:hAnsi="黑体"/>
          <w:b/>
          <w:bCs/>
          <w:color w:val="000000"/>
          <w:sz w:val="32"/>
          <w:szCs w:val="32"/>
        </w:rPr>
      </w:pPr>
      <w:r>
        <w:rPr>
          <w:rFonts w:ascii="黑体" w:eastAsia="黑体" w:hAnsi="黑体" w:hint="eastAsia"/>
          <w:b/>
          <w:bCs/>
          <w:color w:val="000000"/>
          <w:sz w:val="32"/>
          <w:szCs w:val="32"/>
        </w:rPr>
        <w:t>技术规格、参数与要求</w:t>
      </w:r>
    </w:p>
    <w:p w14:paraId="48740A09" w14:textId="77777777" w:rsidR="00FD470F" w:rsidRDefault="00FD470F">
      <w:pPr>
        <w:spacing w:line="360" w:lineRule="auto"/>
        <w:ind w:firstLineChars="200" w:firstLine="442"/>
        <w:rPr>
          <w:rStyle w:val="21"/>
          <w:rFonts w:ascii="宋体" w:hAnsi="宋体" w:cs="宋体"/>
          <w:sz w:val="22"/>
          <w:szCs w:val="20"/>
        </w:rPr>
      </w:pPr>
    </w:p>
    <w:p w14:paraId="26B1D602" w14:textId="0E01601D" w:rsidR="00FD470F" w:rsidRDefault="00000000">
      <w:pPr>
        <w:spacing w:line="360" w:lineRule="auto"/>
        <w:rPr>
          <w:rStyle w:val="21"/>
          <w:rFonts w:ascii="宋体" w:hAnsi="宋体" w:cs="宋体"/>
          <w:b w:val="0"/>
          <w:sz w:val="22"/>
          <w:szCs w:val="20"/>
        </w:rPr>
      </w:pPr>
      <w:r>
        <w:rPr>
          <w:rStyle w:val="21"/>
          <w:rFonts w:ascii="宋体" w:hAnsi="宋体" w:cs="宋体" w:hint="eastAsia"/>
          <w:sz w:val="22"/>
          <w:szCs w:val="20"/>
        </w:rPr>
        <w:t>本项目共1门课程建设</w:t>
      </w:r>
      <w:r w:rsidR="003201CE">
        <w:rPr>
          <w:rStyle w:val="21"/>
          <w:rFonts w:ascii="宋体" w:hAnsi="宋体" w:cs="宋体" w:hint="eastAsia"/>
          <w:sz w:val="22"/>
          <w:szCs w:val="20"/>
        </w:rPr>
        <w:t>，</w:t>
      </w:r>
      <w:r>
        <w:rPr>
          <w:rStyle w:val="21"/>
          <w:rFonts w:ascii="宋体" w:hAnsi="宋体" w:cs="宋体" w:hint="eastAsia"/>
          <w:sz w:val="22"/>
          <w:szCs w:val="20"/>
        </w:rPr>
        <w:t>要求如下：</w:t>
      </w:r>
    </w:p>
    <w:tbl>
      <w:tblPr>
        <w:tblStyle w:val="af"/>
        <w:tblW w:w="9627" w:type="dxa"/>
        <w:tblInd w:w="-199" w:type="dxa"/>
        <w:tblLook w:val="04A0" w:firstRow="1" w:lastRow="0" w:firstColumn="1" w:lastColumn="0" w:noHBand="0" w:noVBand="1"/>
      </w:tblPr>
      <w:tblGrid>
        <w:gridCol w:w="667"/>
        <w:gridCol w:w="943"/>
        <w:gridCol w:w="2243"/>
        <w:gridCol w:w="800"/>
        <w:gridCol w:w="840"/>
        <w:gridCol w:w="827"/>
        <w:gridCol w:w="866"/>
        <w:gridCol w:w="1147"/>
        <w:gridCol w:w="1294"/>
      </w:tblGrid>
      <w:tr w:rsidR="00FD470F" w14:paraId="776EA328" w14:textId="77777777">
        <w:trPr>
          <w:trHeight w:val="468"/>
        </w:trPr>
        <w:tc>
          <w:tcPr>
            <w:tcW w:w="667" w:type="dxa"/>
            <w:vMerge w:val="restart"/>
            <w:vAlign w:val="center"/>
          </w:tcPr>
          <w:p w14:paraId="0F6BE34C" w14:textId="77777777" w:rsidR="00FD470F" w:rsidRDefault="00000000">
            <w:pPr>
              <w:jc w:val="center"/>
              <w:rPr>
                <w:b/>
                <w:bCs/>
                <w:color w:val="FF0000"/>
              </w:rPr>
            </w:pPr>
            <w:r>
              <w:rPr>
                <w:rFonts w:hint="eastAsia"/>
                <w:b/>
                <w:bCs/>
                <w:color w:val="FF0000"/>
              </w:rPr>
              <w:t>序号</w:t>
            </w:r>
          </w:p>
        </w:tc>
        <w:tc>
          <w:tcPr>
            <w:tcW w:w="943" w:type="dxa"/>
            <w:vMerge w:val="restart"/>
            <w:vAlign w:val="center"/>
          </w:tcPr>
          <w:p w14:paraId="38FB828C" w14:textId="77777777" w:rsidR="00FD470F" w:rsidRDefault="00000000">
            <w:pPr>
              <w:jc w:val="center"/>
              <w:rPr>
                <w:b/>
                <w:bCs/>
                <w:color w:val="FF0000"/>
              </w:rPr>
            </w:pPr>
            <w:r>
              <w:rPr>
                <w:rFonts w:hint="eastAsia"/>
                <w:b/>
                <w:bCs/>
                <w:color w:val="FF0000"/>
              </w:rPr>
              <w:t>负责人</w:t>
            </w:r>
          </w:p>
        </w:tc>
        <w:tc>
          <w:tcPr>
            <w:tcW w:w="2243" w:type="dxa"/>
            <w:vMerge w:val="restart"/>
            <w:vAlign w:val="center"/>
          </w:tcPr>
          <w:p w14:paraId="23CC0795" w14:textId="77777777" w:rsidR="00FD470F" w:rsidRDefault="00000000">
            <w:pPr>
              <w:jc w:val="center"/>
              <w:rPr>
                <w:b/>
                <w:bCs/>
                <w:color w:val="FF0000"/>
              </w:rPr>
            </w:pPr>
            <w:r>
              <w:rPr>
                <w:rFonts w:hint="eastAsia"/>
                <w:b/>
                <w:bCs/>
                <w:color w:val="FF0000"/>
              </w:rPr>
              <w:t>课程名称</w:t>
            </w:r>
          </w:p>
        </w:tc>
        <w:tc>
          <w:tcPr>
            <w:tcW w:w="800" w:type="dxa"/>
          </w:tcPr>
          <w:p w14:paraId="654BA6FC" w14:textId="77777777" w:rsidR="00FD470F" w:rsidRDefault="00000000">
            <w:pPr>
              <w:jc w:val="center"/>
              <w:rPr>
                <w:rFonts w:asciiTheme="minorHAnsi" w:eastAsiaTheme="minorEastAsia" w:hAnsiTheme="minorHAnsi" w:cstheme="minorBidi"/>
                <w:b/>
                <w:bCs/>
                <w:color w:val="FF0000"/>
                <w:sz w:val="24"/>
                <w:szCs w:val="32"/>
              </w:rPr>
            </w:pPr>
            <w:r>
              <w:rPr>
                <w:rFonts w:hint="eastAsia"/>
                <w:b/>
                <w:bCs/>
                <w:color w:val="FF0000"/>
              </w:rPr>
              <w:t>棚拍</w:t>
            </w:r>
          </w:p>
        </w:tc>
        <w:tc>
          <w:tcPr>
            <w:tcW w:w="840" w:type="dxa"/>
          </w:tcPr>
          <w:p w14:paraId="2251F2CE" w14:textId="77777777" w:rsidR="00FD470F" w:rsidRDefault="00000000">
            <w:pPr>
              <w:jc w:val="center"/>
              <w:rPr>
                <w:b/>
                <w:bCs/>
                <w:color w:val="FF0000"/>
                <w:sz w:val="24"/>
                <w:szCs w:val="32"/>
              </w:rPr>
            </w:pPr>
            <w:r>
              <w:rPr>
                <w:rFonts w:hint="eastAsia"/>
                <w:b/>
                <w:bCs/>
                <w:color w:val="FF0000"/>
              </w:rPr>
              <w:t>实操外拍</w:t>
            </w:r>
          </w:p>
        </w:tc>
        <w:tc>
          <w:tcPr>
            <w:tcW w:w="827" w:type="dxa"/>
          </w:tcPr>
          <w:p w14:paraId="3CDC99D5" w14:textId="77777777" w:rsidR="00FD470F" w:rsidRDefault="00000000">
            <w:pPr>
              <w:jc w:val="center"/>
              <w:rPr>
                <w:b/>
                <w:bCs/>
                <w:color w:val="FF0000"/>
              </w:rPr>
            </w:pPr>
            <w:r>
              <w:rPr>
                <w:rFonts w:hint="eastAsia"/>
                <w:b/>
                <w:bCs/>
                <w:color w:val="FF0000"/>
              </w:rPr>
              <w:t>二维</w:t>
            </w:r>
            <w:r>
              <w:rPr>
                <w:rFonts w:hint="eastAsia"/>
                <w:b/>
                <w:bCs/>
                <w:color w:val="FF0000"/>
              </w:rPr>
              <w:t xml:space="preserve">  </w:t>
            </w:r>
            <w:r>
              <w:rPr>
                <w:rFonts w:hint="eastAsia"/>
                <w:b/>
                <w:bCs/>
                <w:color w:val="FF0000"/>
              </w:rPr>
              <w:t>动画</w:t>
            </w:r>
          </w:p>
        </w:tc>
        <w:tc>
          <w:tcPr>
            <w:tcW w:w="866" w:type="dxa"/>
          </w:tcPr>
          <w:p w14:paraId="760667C7" w14:textId="77777777" w:rsidR="00FD470F" w:rsidRDefault="00000000">
            <w:pPr>
              <w:jc w:val="center"/>
              <w:rPr>
                <w:b/>
                <w:bCs/>
                <w:color w:val="FF0000"/>
              </w:rPr>
            </w:pPr>
            <w:r>
              <w:rPr>
                <w:rFonts w:hint="eastAsia"/>
                <w:b/>
                <w:bCs/>
                <w:color w:val="FF0000"/>
              </w:rPr>
              <w:t>三维</w:t>
            </w:r>
            <w:r>
              <w:rPr>
                <w:rFonts w:hint="eastAsia"/>
                <w:b/>
                <w:bCs/>
                <w:color w:val="FF0000"/>
              </w:rPr>
              <w:t xml:space="preserve">  </w:t>
            </w:r>
            <w:r>
              <w:rPr>
                <w:rFonts w:hint="eastAsia"/>
                <w:b/>
                <w:bCs/>
                <w:color w:val="FF0000"/>
              </w:rPr>
              <w:t>动画</w:t>
            </w:r>
          </w:p>
        </w:tc>
        <w:tc>
          <w:tcPr>
            <w:tcW w:w="1147" w:type="dxa"/>
          </w:tcPr>
          <w:p w14:paraId="6EC8309B" w14:textId="77777777" w:rsidR="00FD470F" w:rsidRDefault="00000000">
            <w:pPr>
              <w:jc w:val="center"/>
              <w:rPr>
                <w:b/>
                <w:bCs/>
                <w:color w:val="FF0000"/>
              </w:rPr>
            </w:pPr>
            <w:r>
              <w:rPr>
                <w:rFonts w:hint="eastAsia"/>
                <w:b/>
                <w:bCs/>
                <w:color w:val="FF0000"/>
              </w:rPr>
              <w:t>中英文</w:t>
            </w:r>
          </w:p>
          <w:p w14:paraId="10FD9921" w14:textId="77777777" w:rsidR="00FD470F" w:rsidRDefault="00000000">
            <w:pPr>
              <w:jc w:val="center"/>
              <w:rPr>
                <w:b/>
                <w:bCs/>
                <w:color w:val="FF0000"/>
              </w:rPr>
            </w:pPr>
            <w:r>
              <w:rPr>
                <w:rFonts w:hint="eastAsia"/>
                <w:b/>
                <w:bCs/>
                <w:color w:val="FF0000"/>
              </w:rPr>
              <w:t>字幕合成</w:t>
            </w:r>
          </w:p>
        </w:tc>
        <w:tc>
          <w:tcPr>
            <w:tcW w:w="1294" w:type="dxa"/>
          </w:tcPr>
          <w:p w14:paraId="6BE85356" w14:textId="77777777" w:rsidR="00FD470F" w:rsidRDefault="00000000">
            <w:pPr>
              <w:jc w:val="center"/>
              <w:rPr>
                <w:b/>
                <w:bCs/>
                <w:color w:val="FF0000"/>
              </w:rPr>
            </w:pPr>
            <w:r>
              <w:rPr>
                <w:rFonts w:hint="eastAsia"/>
                <w:b/>
                <w:bCs/>
                <w:color w:val="FF0000"/>
              </w:rPr>
              <w:t>概述视频</w:t>
            </w:r>
          </w:p>
          <w:p w14:paraId="4AD20DF7" w14:textId="77777777" w:rsidR="00FD470F" w:rsidRDefault="00000000">
            <w:pPr>
              <w:jc w:val="center"/>
              <w:rPr>
                <w:b/>
                <w:bCs/>
                <w:color w:val="FF0000"/>
              </w:rPr>
            </w:pPr>
            <w:r>
              <w:rPr>
                <w:rFonts w:hint="eastAsia"/>
                <w:b/>
                <w:bCs/>
                <w:color w:val="FF0000"/>
              </w:rPr>
              <w:t>指导和建设</w:t>
            </w:r>
          </w:p>
        </w:tc>
      </w:tr>
      <w:tr w:rsidR="00FD470F" w14:paraId="0107D75A" w14:textId="77777777">
        <w:trPr>
          <w:trHeight w:val="337"/>
        </w:trPr>
        <w:tc>
          <w:tcPr>
            <w:tcW w:w="667" w:type="dxa"/>
            <w:vMerge/>
          </w:tcPr>
          <w:p w14:paraId="6A761AFB" w14:textId="77777777" w:rsidR="00FD470F" w:rsidRDefault="00FD470F">
            <w:pPr>
              <w:jc w:val="center"/>
              <w:rPr>
                <w:color w:val="FF0000"/>
                <w:sz w:val="24"/>
                <w:szCs w:val="32"/>
              </w:rPr>
            </w:pPr>
          </w:p>
        </w:tc>
        <w:tc>
          <w:tcPr>
            <w:tcW w:w="943" w:type="dxa"/>
            <w:vMerge/>
          </w:tcPr>
          <w:p w14:paraId="4FF60D4A" w14:textId="77777777" w:rsidR="00FD470F" w:rsidRDefault="00FD470F">
            <w:pPr>
              <w:jc w:val="center"/>
              <w:rPr>
                <w:color w:val="FF0000"/>
                <w:sz w:val="24"/>
                <w:szCs w:val="32"/>
              </w:rPr>
            </w:pPr>
          </w:p>
        </w:tc>
        <w:tc>
          <w:tcPr>
            <w:tcW w:w="2243" w:type="dxa"/>
            <w:vMerge/>
          </w:tcPr>
          <w:p w14:paraId="2D689E42" w14:textId="77777777" w:rsidR="00FD470F" w:rsidRDefault="00FD470F">
            <w:pPr>
              <w:jc w:val="center"/>
              <w:rPr>
                <w:color w:val="FF0000"/>
                <w:sz w:val="24"/>
                <w:szCs w:val="32"/>
              </w:rPr>
            </w:pPr>
          </w:p>
        </w:tc>
        <w:tc>
          <w:tcPr>
            <w:tcW w:w="800" w:type="dxa"/>
          </w:tcPr>
          <w:p w14:paraId="218C23AB" w14:textId="77777777" w:rsidR="00FD470F" w:rsidRDefault="00000000">
            <w:pPr>
              <w:jc w:val="center"/>
              <w:rPr>
                <w:color w:val="FF0000"/>
              </w:rPr>
            </w:pPr>
            <w:r>
              <w:rPr>
                <w:rFonts w:hint="eastAsia"/>
                <w:color w:val="FF0000"/>
              </w:rPr>
              <w:t>分钟</w:t>
            </w:r>
          </w:p>
        </w:tc>
        <w:tc>
          <w:tcPr>
            <w:tcW w:w="840" w:type="dxa"/>
          </w:tcPr>
          <w:p w14:paraId="18411ADC" w14:textId="77777777" w:rsidR="00FD470F" w:rsidRDefault="00000000">
            <w:pPr>
              <w:jc w:val="center"/>
              <w:rPr>
                <w:color w:val="FF0000"/>
              </w:rPr>
            </w:pPr>
            <w:r>
              <w:rPr>
                <w:rFonts w:hint="eastAsia"/>
                <w:color w:val="FF0000"/>
              </w:rPr>
              <w:t>分钟</w:t>
            </w:r>
          </w:p>
        </w:tc>
        <w:tc>
          <w:tcPr>
            <w:tcW w:w="827" w:type="dxa"/>
          </w:tcPr>
          <w:p w14:paraId="14B02531" w14:textId="77777777" w:rsidR="00FD470F" w:rsidRDefault="00000000">
            <w:pPr>
              <w:jc w:val="center"/>
              <w:rPr>
                <w:color w:val="FF0000"/>
              </w:rPr>
            </w:pPr>
            <w:r>
              <w:rPr>
                <w:rFonts w:hint="eastAsia"/>
                <w:color w:val="FF0000"/>
              </w:rPr>
              <w:t>秒</w:t>
            </w:r>
          </w:p>
        </w:tc>
        <w:tc>
          <w:tcPr>
            <w:tcW w:w="866" w:type="dxa"/>
          </w:tcPr>
          <w:p w14:paraId="448F9647" w14:textId="77777777" w:rsidR="00FD470F" w:rsidRDefault="00000000">
            <w:pPr>
              <w:jc w:val="center"/>
              <w:rPr>
                <w:color w:val="FF0000"/>
              </w:rPr>
            </w:pPr>
            <w:r>
              <w:rPr>
                <w:rFonts w:hint="eastAsia"/>
                <w:color w:val="FF0000"/>
              </w:rPr>
              <w:t>秒</w:t>
            </w:r>
          </w:p>
        </w:tc>
        <w:tc>
          <w:tcPr>
            <w:tcW w:w="1147" w:type="dxa"/>
          </w:tcPr>
          <w:p w14:paraId="5384F496" w14:textId="77777777" w:rsidR="00FD470F" w:rsidRDefault="00000000">
            <w:pPr>
              <w:jc w:val="center"/>
              <w:rPr>
                <w:color w:val="FF0000"/>
              </w:rPr>
            </w:pPr>
            <w:r>
              <w:rPr>
                <w:rFonts w:hint="eastAsia"/>
                <w:color w:val="FF0000"/>
              </w:rPr>
              <w:t>门</w:t>
            </w:r>
          </w:p>
        </w:tc>
        <w:tc>
          <w:tcPr>
            <w:tcW w:w="1294" w:type="dxa"/>
          </w:tcPr>
          <w:p w14:paraId="2EA813AE" w14:textId="77777777" w:rsidR="00FD470F" w:rsidRDefault="00000000">
            <w:pPr>
              <w:jc w:val="center"/>
              <w:rPr>
                <w:color w:val="FF0000"/>
              </w:rPr>
            </w:pPr>
            <w:r>
              <w:rPr>
                <w:rFonts w:hint="eastAsia"/>
                <w:color w:val="FF0000"/>
              </w:rPr>
              <w:t>个</w:t>
            </w:r>
          </w:p>
        </w:tc>
      </w:tr>
      <w:tr w:rsidR="00FD470F" w14:paraId="3BD53CDF" w14:textId="77777777">
        <w:trPr>
          <w:trHeight w:val="328"/>
        </w:trPr>
        <w:tc>
          <w:tcPr>
            <w:tcW w:w="667" w:type="dxa"/>
          </w:tcPr>
          <w:p w14:paraId="24DD42B5" w14:textId="77777777" w:rsidR="00FD470F" w:rsidRDefault="00000000">
            <w:pPr>
              <w:jc w:val="center"/>
              <w:rPr>
                <w:color w:val="FF0000"/>
                <w:sz w:val="20"/>
                <w:szCs w:val="22"/>
              </w:rPr>
            </w:pPr>
            <w:r>
              <w:rPr>
                <w:rFonts w:hint="eastAsia"/>
                <w:color w:val="FF0000"/>
                <w:sz w:val="20"/>
                <w:szCs w:val="22"/>
              </w:rPr>
              <w:t>1</w:t>
            </w:r>
          </w:p>
        </w:tc>
        <w:tc>
          <w:tcPr>
            <w:tcW w:w="943" w:type="dxa"/>
          </w:tcPr>
          <w:p w14:paraId="5754D745" w14:textId="79511B58" w:rsidR="00FD470F" w:rsidRDefault="003201CE">
            <w:pPr>
              <w:jc w:val="center"/>
              <w:rPr>
                <w:color w:val="FF0000"/>
                <w:sz w:val="20"/>
                <w:szCs w:val="22"/>
              </w:rPr>
            </w:pPr>
            <w:r>
              <w:rPr>
                <w:rFonts w:hint="eastAsia"/>
                <w:color w:val="FF0000"/>
                <w:sz w:val="20"/>
                <w:szCs w:val="22"/>
              </w:rPr>
              <w:t>李婷婷</w:t>
            </w:r>
          </w:p>
        </w:tc>
        <w:tc>
          <w:tcPr>
            <w:tcW w:w="2243" w:type="dxa"/>
          </w:tcPr>
          <w:p w14:paraId="6CD35C46" w14:textId="1CA79072" w:rsidR="00FD470F" w:rsidRDefault="003201CE">
            <w:pPr>
              <w:jc w:val="center"/>
              <w:rPr>
                <w:color w:val="FF0000"/>
                <w:sz w:val="20"/>
                <w:szCs w:val="22"/>
              </w:rPr>
            </w:pPr>
            <w:r>
              <w:rPr>
                <w:rFonts w:hint="eastAsia"/>
                <w:color w:val="FF0000"/>
                <w:sz w:val="20"/>
                <w:szCs w:val="22"/>
              </w:rPr>
              <w:t>概率论与数理统计</w:t>
            </w:r>
          </w:p>
        </w:tc>
        <w:tc>
          <w:tcPr>
            <w:tcW w:w="800" w:type="dxa"/>
          </w:tcPr>
          <w:p w14:paraId="0387E8A9" w14:textId="325B39C4" w:rsidR="00FD470F" w:rsidRDefault="00000000">
            <w:pPr>
              <w:jc w:val="center"/>
              <w:rPr>
                <w:color w:val="FF0000"/>
                <w:sz w:val="20"/>
                <w:szCs w:val="22"/>
              </w:rPr>
            </w:pPr>
            <w:r>
              <w:rPr>
                <w:rFonts w:hint="eastAsia"/>
                <w:color w:val="FF0000"/>
                <w:sz w:val="20"/>
                <w:szCs w:val="22"/>
              </w:rPr>
              <w:t>4</w:t>
            </w:r>
            <w:r w:rsidR="003201CE">
              <w:rPr>
                <w:rFonts w:hint="eastAsia"/>
                <w:color w:val="FF0000"/>
                <w:sz w:val="20"/>
                <w:szCs w:val="22"/>
              </w:rPr>
              <w:t>5</w:t>
            </w:r>
            <w:r>
              <w:rPr>
                <w:rFonts w:hint="eastAsia"/>
                <w:color w:val="FF0000"/>
                <w:sz w:val="20"/>
                <w:szCs w:val="22"/>
              </w:rPr>
              <w:t>0</w:t>
            </w:r>
          </w:p>
        </w:tc>
        <w:tc>
          <w:tcPr>
            <w:tcW w:w="840" w:type="dxa"/>
          </w:tcPr>
          <w:p w14:paraId="0FF55F5C" w14:textId="635D3463" w:rsidR="00FD470F" w:rsidRDefault="00000000">
            <w:pPr>
              <w:jc w:val="center"/>
              <w:rPr>
                <w:color w:val="FF0000"/>
                <w:sz w:val="20"/>
                <w:szCs w:val="22"/>
              </w:rPr>
            </w:pPr>
            <w:r>
              <w:rPr>
                <w:rFonts w:hint="eastAsia"/>
                <w:color w:val="FF0000"/>
                <w:sz w:val="20"/>
                <w:szCs w:val="22"/>
              </w:rPr>
              <w:t>0</w:t>
            </w:r>
          </w:p>
        </w:tc>
        <w:tc>
          <w:tcPr>
            <w:tcW w:w="827" w:type="dxa"/>
          </w:tcPr>
          <w:p w14:paraId="5357F63B" w14:textId="77777777" w:rsidR="00FD470F" w:rsidRDefault="00000000">
            <w:pPr>
              <w:jc w:val="center"/>
              <w:rPr>
                <w:rFonts w:asciiTheme="minorHAnsi" w:eastAsiaTheme="minorEastAsia" w:hAnsiTheme="minorHAnsi" w:cstheme="minorBidi"/>
                <w:color w:val="FF0000"/>
                <w:sz w:val="20"/>
                <w:szCs w:val="22"/>
              </w:rPr>
            </w:pPr>
            <w:r>
              <w:rPr>
                <w:rFonts w:hint="eastAsia"/>
                <w:color w:val="FF0000"/>
                <w:sz w:val="20"/>
                <w:szCs w:val="22"/>
              </w:rPr>
              <w:t>0</w:t>
            </w:r>
          </w:p>
        </w:tc>
        <w:tc>
          <w:tcPr>
            <w:tcW w:w="866" w:type="dxa"/>
          </w:tcPr>
          <w:p w14:paraId="708E1CE8" w14:textId="77777777" w:rsidR="00FD470F" w:rsidRDefault="00000000">
            <w:pPr>
              <w:jc w:val="center"/>
              <w:rPr>
                <w:rFonts w:asciiTheme="minorHAnsi" w:eastAsiaTheme="minorEastAsia" w:hAnsiTheme="minorHAnsi" w:cstheme="minorBidi"/>
                <w:color w:val="FF0000"/>
                <w:sz w:val="20"/>
                <w:szCs w:val="22"/>
              </w:rPr>
            </w:pPr>
            <w:r>
              <w:rPr>
                <w:rFonts w:hint="eastAsia"/>
                <w:color w:val="FF0000"/>
                <w:sz w:val="20"/>
                <w:szCs w:val="22"/>
              </w:rPr>
              <w:t>0</w:t>
            </w:r>
          </w:p>
        </w:tc>
        <w:tc>
          <w:tcPr>
            <w:tcW w:w="1147" w:type="dxa"/>
          </w:tcPr>
          <w:p w14:paraId="16F7EA91" w14:textId="77777777" w:rsidR="00FD470F" w:rsidRDefault="00000000">
            <w:pPr>
              <w:jc w:val="center"/>
              <w:rPr>
                <w:rFonts w:asciiTheme="minorHAnsi" w:eastAsiaTheme="minorEastAsia" w:hAnsiTheme="minorHAnsi" w:cstheme="minorBidi"/>
                <w:color w:val="FF0000"/>
                <w:sz w:val="20"/>
                <w:szCs w:val="22"/>
              </w:rPr>
            </w:pPr>
            <w:r>
              <w:rPr>
                <w:rFonts w:hint="eastAsia"/>
                <w:color w:val="FF0000"/>
                <w:sz w:val="20"/>
                <w:szCs w:val="22"/>
              </w:rPr>
              <w:t>0</w:t>
            </w:r>
          </w:p>
        </w:tc>
        <w:tc>
          <w:tcPr>
            <w:tcW w:w="1294" w:type="dxa"/>
          </w:tcPr>
          <w:p w14:paraId="3FEE80F0" w14:textId="77777777" w:rsidR="00FD470F" w:rsidRDefault="00000000">
            <w:pPr>
              <w:jc w:val="center"/>
              <w:rPr>
                <w:rFonts w:asciiTheme="minorHAnsi" w:eastAsiaTheme="minorEastAsia" w:hAnsiTheme="minorHAnsi" w:cstheme="minorBidi"/>
                <w:color w:val="FF0000"/>
                <w:sz w:val="20"/>
                <w:szCs w:val="22"/>
              </w:rPr>
            </w:pPr>
            <w:r>
              <w:rPr>
                <w:rFonts w:hint="eastAsia"/>
                <w:color w:val="FF0000"/>
                <w:sz w:val="20"/>
                <w:szCs w:val="22"/>
              </w:rPr>
              <w:t>0</w:t>
            </w:r>
          </w:p>
        </w:tc>
      </w:tr>
    </w:tbl>
    <w:p w14:paraId="6F82AD37" w14:textId="12F19274" w:rsidR="003201CE" w:rsidRDefault="003201CE" w:rsidP="003201CE">
      <w:pPr>
        <w:spacing w:line="276" w:lineRule="auto"/>
        <w:rPr>
          <w:rFonts w:ascii="黑体" w:eastAsia="黑体" w:hAnsi="黑体"/>
          <w:color w:val="000000"/>
          <w:kern w:val="0"/>
          <w:sz w:val="44"/>
          <w:szCs w:val="44"/>
        </w:rPr>
      </w:pPr>
      <w:r>
        <w:rPr>
          <w:rFonts w:ascii="黑体" w:eastAsia="黑体" w:hAnsi="黑体" w:cs="宋体" w:hint="eastAsia"/>
          <w:sz w:val="44"/>
          <w:szCs w:val="44"/>
        </w:rPr>
        <w:t>预算：</w:t>
      </w:r>
      <w:r>
        <w:rPr>
          <w:rFonts w:ascii="黑体" w:eastAsia="黑体" w:hAnsi="黑体" w:hint="eastAsia"/>
          <w:color w:val="FF0000"/>
          <w:kern w:val="0"/>
          <w:sz w:val="44"/>
          <w:szCs w:val="44"/>
        </w:rPr>
        <w:t>人民币</w:t>
      </w:r>
      <w:r>
        <w:rPr>
          <w:rFonts w:ascii="黑体" w:eastAsia="黑体" w:hAnsi="黑体" w:hint="eastAsia"/>
          <w:color w:val="FF0000"/>
          <w:kern w:val="0"/>
          <w:sz w:val="44"/>
          <w:szCs w:val="44"/>
        </w:rPr>
        <w:t>57500</w:t>
      </w:r>
      <w:r>
        <w:rPr>
          <w:rFonts w:ascii="黑体" w:eastAsia="黑体" w:hAnsi="黑体" w:hint="eastAsia"/>
          <w:color w:val="FF0000"/>
          <w:kern w:val="0"/>
          <w:sz w:val="44"/>
          <w:szCs w:val="44"/>
        </w:rPr>
        <w:t>.00元</w:t>
      </w:r>
    </w:p>
    <w:p w14:paraId="11B33995" w14:textId="77777777" w:rsidR="00FD470F" w:rsidRDefault="00FD470F">
      <w:pPr>
        <w:rPr>
          <w:rFonts w:ascii="宋体" w:hAnsi="宋体"/>
          <w:b/>
          <w:bCs/>
          <w:szCs w:val="21"/>
        </w:rPr>
      </w:pPr>
    </w:p>
    <w:p w14:paraId="23B4D08A" w14:textId="77777777" w:rsidR="00FD470F" w:rsidRDefault="00000000">
      <w:pPr>
        <w:rPr>
          <w:rFonts w:ascii="宋体" w:hAnsi="宋体" w:cs="宋体"/>
          <w:b/>
          <w:bCs/>
          <w:szCs w:val="21"/>
        </w:rPr>
      </w:pPr>
      <w:r>
        <w:rPr>
          <w:rFonts w:ascii="宋体" w:hAnsi="宋体" w:cs="宋体" w:hint="eastAsia"/>
          <w:b/>
          <w:bCs/>
          <w:szCs w:val="21"/>
        </w:rPr>
        <w:t>1、总体要求：</w:t>
      </w:r>
    </w:p>
    <w:p w14:paraId="6AB0F594" w14:textId="77777777" w:rsidR="00FD470F" w:rsidRDefault="00000000">
      <w:pPr>
        <w:ind w:firstLineChars="200" w:firstLine="420"/>
        <w:rPr>
          <w:rFonts w:ascii="宋体" w:hAnsi="宋体"/>
          <w:szCs w:val="21"/>
        </w:rPr>
      </w:pPr>
      <w:r>
        <w:rPr>
          <w:rFonts w:ascii="宋体" w:hAnsi="宋体" w:hint="eastAsia"/>
          <w:szCs w:val="21"/>
        </w:rPr>
        <w:t>本项目要求投标人具有数字化课程资源开发服务、网络课程教学运行以及配套的服务能力，包括但不限于在线开放课程设计、制作、运行和推广服务能力。</w:t>
      </w:r>
    </w:p>
    <w:p w14:paraId="21CA187E" w14:textId="65505D8C" w:rsidR="00FD470F" w:rsidRDefault="00000000">
      <w:pPr>
        <w:spacing w:line="276" w:lineRule="auto"/>
        <w:ind w:firstLineChars="200" w:firstLine="420"/>
        <w:rPr>
          <w:rFonts w:ascii="宋体" w:hAnsi="宋体" w:cs="宋体"/>
          <w:szCs w:val="21"/>
        </w:rPr>
      </w:pPr>
      <w:r>
        <w:rPr>
          <w:rFonts w:ascii="宋体" w:hAnsi="宋体" w:cs="宋体" w:hint="eastAsia"/>
          <w:szCs w:val="21"/>
        </w:rPr>
        <w:t>为确保课程制作水准，课程建设质量要达到或者超过</w:t>
      </w:r>
      <w:r w:rsidR="003201CE">
        <w:rPr>
          <w:rFonts w:ascii="宋体" w:hAnsi="宋体" w:cs="宋体" w:hint="eastAsia"/>
          <w:szCs w:val="21"/>
        </w:rPr>
        <w:t>市</w:t>
      </w:r>
      <w:r>
        <w:rPr>
          <w:rFonts w:ascii="宋体" w:hAnsi="宋体" w:cs="宋体" w:hint="eastAsia"/>
          <w:szCs w:val="21"/>
        </w:rPr>
        <w:t>级专业教学资源库和</w:t>
      </w:r>
      <w:r w:rsidR="003201CE">
        <w:rPr>
          <w:rFonts w:ascii="宋体" w:hAnsi="宋体" w:cs="宋体" w:hint="eastAsia"/>
          <w:szCs w:val="21"/>
        </w:rPr>
        <w:t>市</w:t>
      </w:r>
      <w:r>
        <w:rPr>
          <w:rFonts w:ascii="宋体" w:hAnsi="宋体" w:cs="宋体" w:hint="eastAsia"/>
          <w:szCs w:val="21"/>
        </w:rPr>
        <w:t>级精品在线开放课程的建设要求，要求整体课程具备混合式教学开发模式课程运行要求。制作任务包括前期策划与准备、中期拍摄、后期制作（剪辑、修改、特效、包装等）、片头片尾制作（学校LOGO、课程名称、主讲教师信息等）直至主讲教师审核通过。按要求对课程视频进行格式转换，参数设置，并提供跨校共享课程运行平台及后期课程基础运行保障服务，所提供课程平台可实现面向全国各高校跨校选课运行。建设的课程资源可以在不同的课程平台上运行。</w:t>
      </w:r>
    </w:p>
    <w:p w14:paraId="611A5890" w14:textId="77777777" w:rsidR="00FD470F" w:rsidRDefault="00000000">
      <w:pPr>
        <w:spacing w:line="276" w:lineRule="auto"/>
        <w:rPr>
          <w:rFonts w:ascii="宋体" w:hAnsi="宋体" w:cs="宋体"/>
          <w:b/>
          <w:szCs w:val="21"/>
        </w:rPr>
      </w:pPr>
      <w:r>
        <w:rPr>
          <w:rFonts w:ascii="宋体" w:hAnsi="宋体" w:cs="宋体" w:hint="eastAsia"/>
          <w:b/>
          <w:szCs w:val="21"/>
        </w:rPr>
        <w:t>2、课程建设技术标准及要求</w:t>
      </w:r>
    </w:p>
    <w:p w14:paraId="4AC46E65"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该项目包括课程前期策划与框架设计、视频制作、课程平台运行及服务、后期修改等内容，所有以上服务的建设内容及要求均不得低于省级精品在线开放课程标准的建设内容和要求。</w:t>
      </w:r>
    </w:p>
    <w:p w14:paraId="6CCBE99D" w14:textId="77777777" w:rsidR="00FD470F" w:rsidRDefault="00000000">
      <w:pPr>
        <w:spacing w:line="276" w:lineRule="auto"/>
        <w:ind w:firstLineChars="200" w:firstLine="420"/>
        <w:rPr>
          <w:rFonts w:ascii="宋体" w:hAnsi="宋体" w:cs="宋体"/>
          <w:szCs w:val="21"/>
        </w:rPr>
      </w:pPr>
      <w:bookmarkStart w:id="0" w:name="_Toc434915663"/>
      <w:bookmarkStart w:id="1" w:name="_Toc448072696"/>
      <w:r>
        <w:rPr>
          <w:rFonts w:ascii="宋体" w:hAnsi="宋体" w:cs="宋体" w:hint="eastAsia"/>
          <w:szCs w:val="21"/>
        </w:rPr>
        <w:t>（一）课程要件：本项目应包括的课程要件具体内容如下：</w:t>
      </w:r>
    </w:p>
    <w:p w14:paraId="65CE0C77"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1.课程介绍。课程介绍包括教学目标、教学内容覆盖面、学时学分、教学方法及组织形式、授课对象要求、教材与参考资料、课程特点、课程已开设情况、面向社会开放情况等内容。课程设置应与本校的课堂教学的要求相当。 </w:t>
      </w:r>
    </w:p>
    <w:p w14:paraId="2CC128B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2.教学大纲。教学大纲以纲要形式规定课程的教学内容，具体应包括课程的教学目的、教学任务、教学内容的结构、模块或单元教学目标与任务及知识点、教学活动以及教学方法上的基本要求等。 </w:t>
      </w:r>
    </w:p>
    <w:p w14:paraId="0944D00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3.教学日历。教学日历是教师组织线上课程教学的具体实施计划表，应按周来明确规定教学进程、授课内容、授课方式、讨论主题与要求、线上线下作业等教学活动的时间进度。</w:t>
      </w:r>
    </w:p>
    <w:p w14:paraId="2FEC54B6"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4.课程导学。课程导学包括课程学习指南、学习建议，各课程单元的学习指南、学习方法建议，各种学习活动和学习方法介绍，常见问题等。 </w:t>
      </w:r>
    </w:p>
    <w:p w14:paraId="187A934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5.教学视频。课程教学视频应该满足在线开放课程教学模式要求，按授课单元录制，每个视频针对 1-2 个知识点，要求结构完整。每个视频片段 3-15 分钟为宜。视频若有片头、片尾，片头或片尾的总长一般应控制在10 秒以内。时长超过 5 分钟的视频应插入课间提</w:t>
      </w:r>
      <w:r>
        <w:rPr>
          <w:rFonts w:ascii="宋体" w:hAnsi="宋体" w:cs="宋体" w:hint="eastAsia"/>
          <w:szCs w:val="21"/>
        </w:rPr>
        <w:lastRenderedPageBreak/>
        <w:t>问；有条件的课程，建议每 5-6 分钟插入一次。课间提问一般为 1 道客观题，题型可以是:单选题、多选题、判断题。课间提问不计入平时成绩。</w:t>
      </w:r>
    </w:p>
    <w:p w14:paraId="316FBC84"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6.教学资料。教学资料包括每个授课单元的课程教学演示文稿，以及其他参考资料、文献、案例等，可以PDF文档等的格式上传。例如，每讲或每单元的PPT教案，可放在该部分教学内容的课程资料，供学生下载。 </w:t>
      </w:r>
    </w:p>
    <w:p w14:paraId="269FEB9F"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7.团队介绍。课程负责人及主讲教师基本情况介绍；课程团队构成及介绍，包括教学设计人员、助教、拍摄制作人员、技术支持人员等。 </w:t>
      </w:r>
    </w:p>
    <w:p w14:paraId="601EFA2B"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8.课堂讨论。课堂讨论是教学团队在教学单元中发起的讨论。每个单元可以安排有一个或多个课堂讨论，需设定讨论的主题，平台为每个主题生成单独的讨论区。</w:t>
      </w:r>
    </w:p>
    <w:p w14:paraId="1F70216F"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9.单元测验。单元测验一般安排在整个教学单元学习完成之后进行。一般由客观题组成，题型可以是单一的单选题、多选题、判断题，或是上述多种题型的组合，平台自动判分，一般没有提交时间的限制，计入学生的平时成绩。教师也可以对单元测验设置提交截止时间和管理策略，如：学生可以提交的次数（建议2-3次）、有效成绩取最后一次成绩还是最好成绩（建议取最好成绩）。 </w:t>
      </w:r>
    </w:p>
    <w:p w14:paraId="2BBF62B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10.作业。作业的形式可以是主观题、客观题，或是两者的组合，可以采用学生互评或教师批改的方式进行判分。单元作业的有效期以 10-15 天为宜。为保证注册较晚的学生能够获得证书，前两周作业提交时间建议设定为 30 天。</w:t>
      </w:r>
    </w:p>
    <w:p w14:paraId="6839B8BA"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11.试卷。试卷是检测学生课程阶段性或整体学习情况的正式测验题，可以包括客观题、主观题及两者的组合题；试题满足测试目标的要求，涵盖考查范围内的主要知识点，考查内容的题量和试题难度分布应与教学内容结构一致，具有一定的效度和信度，前后顺序必须合理，试题之间不能相互提示，不能相互矛盾。客观题由平台自动判分，主观题采用学生互评或教师批改的方式进行判分。考试题一经发布将不允许修改，发布前需确保考试内容核查无误。考试题学生只能提交一次，且有答题时间限制，该时间按平台的时间计算（即学生一旦开始考试，不论其是否关闭电脑，系统都将按平台的时间计时并按时结束）。 </w:t>
      </w:r>
    </w:p>
    <w:p w14:paraId="097099A8"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12.考核办法。课程考核包括完成课程学习必需的课程整体考核和各学习周、讲或单元的考核，考核办法明确了完成每个知识单元或每个学习周以及整门课程学习所必须按时完成的各项学习活动的数量、评分标准及成绩合成比例等，列入考核的学习活动应包括视频点播、学习讨论、在线测试、在线作业、见面课学习等。 </w:t>
      </w:r>
    </w:p>
    <w:p w14:paraId="3FC36C97"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13.拓展资源。拓展资源指反映课程特点，应用于各教学与学习环节，支持课程教学和学习过程，较为成熟的多样性、交互性辅助资源。  </w:t>
      </w:r>
    </w:p>
    <w:p w14:paraId="4729BD4A"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（二）课程前期策划与准备</w:t>
      </w:r>
    </w:p>
    <w:p w14:paraId="274F90F5"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1.课程结构的计划与设计：为教师团队提供课程碎片化、层次化、主题化的设计咨询，从建设背景、建设目标、设计原则、课程学时安排、章节结构、教学大纲、知识点、教学重点、教学课件、教学团队、考核方式等多个维度进行设计。指导脚本的撰写并提出合适的修改意见。</w:t>
      </w:r>
    </w:p>
    <w:p w14:paraId="3278CF03"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2.教学风格的塑造：指导教师塑造理性严谨、情绪感染、自然朴素、风趣幽默等类型的教学风格。</w:t>
      </w:r>
    </w:p>
    <w:p w14:paraId="5FAA6EEB"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3.教学方法的设计咨询：帮助教师进行适合混合式在线开放课程的教学方法设计，包括</w:t>
      </w:r>
      <w:r>
        <w:rPr>
          <w:rFonts w:ascii="宋体" w:hAnsi="宋体" w:cs="宋体" w:hint="eastAsia"/>
          <w:szCs w:val="21"/>
        </w:rPr>
        <w:lastRenderedPageBreak/>
        <w:t>课堂面授、参观教学、角色模拟、操作演示、讨论互动等教学方法设计。</w:t>
      </w:r>
    </w:p>
    <w:p w14:paraId="286E1C7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4.教学仪态、语言的咨询：为教师提供教师形象、教学动作、教学语言等咨询与建议。</w:t>
      </w:r>
    </w:p>
    <w:p w14:paraId="2347CF9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5.至少提供以下8种拍摄模式中供教师参考：</w:t>
      </w:r>
    </w:p>
    <w:p w14:paraId="14F28D39"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纯色背景模式：在摄影棚内拍摄，有黑、白、灰等纯色幕布背景。</w:t>
      </w:r>
    </w:p>
    <w:p w14:paraId="3820893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抠像背景模式：在摄影棚内拍摄，有绿、蓝等抠像幕布背景。</w:t>
      </w:r>
    </w:p>
    <w:p w14:paraId="533DD894"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基地PPT模式：在摄影棚内拍摄，全程PPT演示可展示教学素材。</w:t>
      </w:r>
    </w:p>
    <w:p w14:paraId="06AA836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基地访谈模式：在摄影棚内摆拍，根据访谈人数设定机位数，一般2-3机位，教学过程由多位教师交流讨论完成。适合启发性的、思维拓展和发散的学科课程。</w:t>
      </w:r>
    </w:p>
    <w:p w14:paraId="5680C862"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基地演示模式：在摄影棚内多机位拍摄，通过实际操作演示完成教学过程。</w:t>
      </w:r>
    </w:p>
    <w:p w14:paraId="2594450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场景实操模式：根据教师课程需求，选择在特定拍摄场地，多机位拍摄。</w:t>
      </w:r>
    </w:p>
    <w:p w14:paraId="4427CBF8"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随堂拍摄模式：随堂拍摄，多机位拍摄，记录教师讲课现场风采。</w:t>
      </w:r>
    </w:p>
    <w:p w14:paraId="45C8C10F"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其他模式：特殊课程可根据教师课程框架设计更多拍摄模式。</w:t>
      </w:r>
    </w:p>
    <w:p w14:paraId="41A33FBB"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6.</w:t>
      </w:r>
      <w:r>
        <w:rPr>
          <w:rFonts w:ascii="宋体" w:hAnsi="宋体" w:cs="宋体" w:hint="eastAsia"/>
          <w:szCs w:val="21"/>
          <w:lang w:val="zh-CN"/>
        </w:rPr>
        <w:t>根据教师的课程设计，帮助教师选择设定最合适的拍摄方案，并制定完善的拍摄计划，并形成课程建设开发时间表。根据拍摄计划，按照不同的场景、要求进行前期准备，和教师确定准备材料。根据拍摄技术标准和课程内容，设计贴合教师授课特点的拍摄形式，与教师沟通说明拍摄要求，并协助提供着装意见。安排专人协助教师搜集各类课程资料和辅助资源，包括图片、视频、文档等，美化设计PPT课件等教学资源。</w:t>
      </w:r>
    </w:p>
    <w:p w14:paraId="2ED0B643"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（三）视频制作要求</w:t>
      </w:r>
    </w:p>
    <w:p w14:paraId="17ECED34"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1.拍摄人员配备</w:t>
      </w:r>
      <w:bookmarkEnd w:id="0"/>
      <w:bookmarkEnd w:id="1"/>
    </w:p>
    <w:p w14:paraId="77549497"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业务人员 1人： 负责校方与公司各部门协调，拍摄期间全职全程参与；</w:t>
      </w:r>
    </w:p>
    <w:p w14:paraId="02D5679C"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课程顾问及导演1人：负责现场拍摄、制作监控与管理，拍摄场地勘察以及场景设计不少于2个，商定慕课内容设计、章节及知识点切割及时间的把控，制作课程脚本；</w:t>
      </w:r>
    </w:p>
    <w:p w14:paraId="4FF47DCC"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摄像师2人：提供拍摄服务；</w:t>
      </w:r>
    </w:p>
    <w:p w14:paraId="718AE8C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现场灯光师1人：负责现场灯光设计及场记；</w:t>
      </w:r>
    </w:p>
    <w:p w14:paraId="791214AD"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后期制作及效果包装2人：负责课程后期剪辑以及所涉及动画设计。</w:t>
      </w:r>
    </w:p>
    <w:p w14:paraId="45B03C24" w14:textId="77777777" w:rsidR="00FD470F" w:rsidRDefault="00000000">
      <w:pPr>
        <w:spacing w:line="276" w:lineRule="auto"/>
        <w:ind w:firstLineChars="200" w:firstLine="420"/>
        <w:rPr>
          <w:rFonts w:ascii="宋体" w:hAnsi="宋体" w:cs="宋体"/>
          <w:szCs w:val="21"/>
        </w:rPr>
      </w:pPr>
      <w:bookmarkStart w:id="2" w:name="_Toc434915664"/>
      <w:r>
        <w:rPr>
          <w:rFonts w:ascii="宋体" w:hAnsi="宋体" w:cs="宋体" w:hint="eastAsia"/>
          <w:szCs w:val="21"/>
        </w:rPr>
        <w:t>2.机位设定及设备</w:t>
      </w:r>
      <w:bookmarkEnd w:id="2"/>
    </w:p>
    <w:p w14:paraId="14FFFE55"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根据课程需要采用单或多机位，具备专业广播级水准的高清摄像机，摄像机拍摄时采用分辨率为1920x1080，录像视频宽16:9，帧率设定为25帧；拍摄设备要同型同款，保证录制效果的一致性。</w:t>
      </w:r>
    </w:p>
    <w:p w14:paraId="3BCCC0C5"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主机位用于拍摄教师全景，辅助机位拍摄教师特写、板书以及多媒体信息。录音设备要求使用若干个专业级话筒，保证录音质量。</w:t>
      </w:r>
    </w:p>
    <w:p w14:paraId="390C20C1"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保证拍摄现场的音响效果及灯光效果达到摄影棚级别要求。</w:t>
      </w:r>
      <w:bookmarkStart w:id="3" w:name="_Toc448072697"/>
      <w:bookmarkStart w:id="4" w:name="_Toc434915665"/>
    </w:p>
    <w:p w14:paraId="21516821"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录制设备具体要求</w:t>
      </w:r>
    </w:p>
    <w:p w14:paraId="4B146F9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1）录像设备：提供2台及以上广播级（不低于50M/秒码率）高清蓝光摄像机，LED专业演播室灯光及移动拍摄灯。确保设备能正常完成拍摄任务。所用摄像机分辨率不低于1920×1080，录制视频宽高比16:9，视频帧率为25帧/秒。</w:t>
      </w:r>
    </w:p>
    <w:p w14:paraId="6A08BC47"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（2）收音设备：至少使用2套及以上专业领夹收声设备，保证教师及其他辅助人员的录音质量。</w:t>
      </w:r>
    </w:p>
    <w:p w14:paraId="6C2BEF3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lastRenderedPageBreak/>
        <w:t>（3）监听监视提词设备：授课教师能同时监看录制效果以调整姿态，并起到台词提示功能，至少有监听耳机2副。</w:t>
      </w:r>
    </w:p>
    <w:p w14:paraId="6C861C99"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（4）后期制作设备：不少于2套正版非线性编辑系统及字幕包装系统。</w:t>
      </w:r>
    </w:p>
    <w:p w14:paraId="70041C2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场记：安排课程专员或者教师根据现场录制实际情况记录场记。</w:t>
      </w:r>
    </w:p>
    <w:p w14:paraId="68BA01A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3.视频内容</w:t>
      </w:r>
    </w:p>
    <w:p w14:paraId="42DD4D23"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1）屏幕图像的构图合理，画面主体突出。人像及肢体动作以及配合讲授选用的板书、画板、教具实物、模型和实验设备等均不能超出镜头所及范围。画面中教师以中景和近景为主，要求人物和板书（或其他画面元素）同样清晰，不建议无教师形象的全程板书或PPT配音。</w:t>
      </w:r>
    </w:p>
    <w:p w14:paraId="3EE514C7"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（2）使用资料、图片、外景实拍、实验和表演等形象化教学手段，应符合教学内容要求，与讲授内容联系紧密，手段选用恰当。</w:t>
      </w:r>
    </w:p>
    <w:p w14:paraId="755AE0B2"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（3）摄像镜头应保持与主讲教师目光平视的角度。主讲教师不应较长时间仰视或俯视。录像环境应光线充足、安静，主讲教师应衣着整洁，讲话清晰，板书清楚。</w:t>
      </w:r>
    </w:p>
    <w:p w14:paraId="3A6AF4AA"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（4）动画的设计与使用，要与课程内容相贴切，能够发挥良好的教学效果。</w:t>
      </w:r>
    </w:p>
    <w:p w14:paraId="3438FC18"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（5）动画的实现须流畅、合理、图象清晰，具有较强的可视性。</w:t>
      </w:r>
    </w:p>
    <w:p w14:paraId="092BF27F"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4.视频技术规格</w:t>
      </w:r>
    </w:p>
    <w:p w14:paraId="7602BA71"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4.1视频信号源</w:t>
      </w:r>
    </w:p>
    <w:p w14:paraId="61B765C1"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（1）稳定性：全片图像同步性能稳定，无失步现象，CTL同步控制信号必须:图像无抖动跳跃，色彩无突变，编辑点处图像稳定。</w:t>
      </w:r>
    </w:p>
    <w:p w14:paraId="53C77BBF"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（2）信噪比：图像信躁比不低于55dB，无明显杂波。</w:t>
      </w:r>
    </w:p>
    <w:p w14:paraId="26E3380A"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（3）色调：白平衡明确，无明显偏色，多机拍摄的镜头衔接处无明显色差。</w:t>
      </w:r>
    </w:p>
    <w:p w14:paraId="75E98F74"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（4）视频电平：视频全讯号幅度为1Vp-p，最大不超过1.1Vp-p。其中，消隐电平为0V时，白电平幅度为0.7Vp-p，同步信号-0.3V，色同步信号幅度为0.3Vp-p（以消隐线上下对称），全片一致。</w:t>
      </w:r>
    </w:p>
    <w:p w14:paraId="1C313B58"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4.2.音频信号源</w:t>
      </w:r>
    </w:p>
    <w:p w14:paraId="27BE6F85"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（1）声道：中文内容音频信号记录于第1声道，音乐、音效、同期声记录于第2声道，若有其他文字解说记录于第3声道（如录音设备无第3声道，则录于第2声道）。</w:t>
      </w:r>
    </w:p>
    <w:p w14:paraId="4FC8FEE8"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（2）电平指标：-2db— -8db声音应无明显失真、放音过冲、过弱。</w:t>
      </w:r>
    </w:p>
    <w:p w14:paraId="6CE7EFF5"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（3）音频信躁比不低于48db。</w:t>
      </w:r>
    </w:p>
    <w:p w14:paraId="18ED7681"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（4）声音和画面要求同步，无交流声或其他杂音等缺陷。</w:t>
      </w:r>
    </w:p>
    <w:p w14:paraId="68E7E6F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（5）伴音清晰、饱满、圆润，无失真、噪音杂音干扰、音量忽大忽小现象。解说声与现场声无明显比例失调，解说声与背景音乐无明显比例失调。</w:t>
      </w:r>
    </w:p>
    <w:p w14:paraId="2393683F"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4.3.视频压缩格式及技术参数</w:t>
      </w:r>
    </w:p>
    <w:p w14:paraId="6912F14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（1）视频压缩采用H.264/AVC（MPEG-4 Part10）编码、使用二次编码、不包含字母的MP4格式。</w:t>
      </w:r>
    </w:p>
    <w:p w14:paraId="16C034ED"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（2）视频码流率：动态码流的最低码率不得低于1024Kb</w:t>
      </w:r>
    </w:p>
    <w:p w14:paraId="66BB17AD"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（3）视频分辨率</w:t>
      </w:r>
    </w:p>
    <w:p w14:paraId="32882ECD"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前期采用高清16:9拍摄时，请设定为1920x1080</w:t>
      </w:r>
    </w:p>
    <w:p w14:paraId="2D7837FB"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lastRenderedPageBreak/>
        <w:t>（4）视频画幅宽高比</w:t>
      </w:r>
    </w:p>
    <w:p w14:paraId="780852ED"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分辨率设定为1920x1080的，请选定16:9</w:t>
      </w:r>
    </w:p>
    <w:p w14:paraId="72623785"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（5）视频帧率为25帧/秒</w:t>
      </w:r>
    </w:p>
    <w:p w14:paraId="3CF8D909"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（6）扫描方式采用逐行扫描</w:t>
      </w:r>
    </w:p>
    <w:p w14:paraId="31AB0184"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4.4.音频压缩格式及技术参数</w:t>
      </w:r>
    </w:p>
    <w:p w14:paraId="0865F73A"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（1）音频压缩采用AAC（MPEG4 Part3）格式</w:t>
      </w:r>
    </w:p>
    <w:p w14:paraId="4ACA307B"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（2）采样率48KHz</w:t>
      </w:r>
    </w:p>
    <w:p w14:paraId="49B2B24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（3）音频码流率128Kbps（恒定）</w:t>
      </w:r>
    </w:p>
    <w:p w14:paraId="676F2915"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（4）必须是双声道，必须做混音处理。</w:t>
      </w:r>
    </w:p>
    <w:p w14:paraId="2E880729"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4.5.封装</w:t>
      </w:r>
    </w:p>
    <w:p w14:paraId="33878564"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采用MP4封装</w:t>
      </w:r>
    </w:p>
    <w:p w14:paraId="71150A78"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（四）演示文稿（PPT）制作</w:t>
      </w:r>
      <w:bookmarkEnd w:id="3"/>
      <w:bookmarkEnd w:id="4"/>
      <w:r>
        <w:rPr>
          <w:rFonts w:ascii="宋体" w:hAnsi="宋体" w:cs="宋体" w:hint="eastAsia"/>
          <w:szCs w:val="21"/>
        </w:rPr>
        <w:t>规范</w:t>
      </w:r>
    </w:p>
    <w:p w14:paraId="4F3F7FD3" w14:textId="77777777" w:rsidR="00FD470F" w:rsidRDefault="00000000">
      <w:pPr>
        <w:spacing w:line="276" w:lineRule="auto"/>
        <w:ind w:firstLineChars="200" w:firstLine="420"/>
        <w:rPr>
          <w:rFonts w:ascii="宋体" w:hAnsi="宋体" w:cs="宋体"/>
          <w:szCs w:val="21"/>
        </w:rPr>
      </w:pPr>
      <w:bookmarkStart w:id="5" w:name="_Toc448072698"/>
      <w:bookmarkStart w:id="6" w:name="_Toc434915666"/>
      <w:r>
        <w:rPr>
          <w:rFonts w:ascii="宋体" w:hAnsi="宋体" w:cs="宋体" w:hint="eastAsia"/>
          <w:szCs w:val="21"/>
        </w:rPr>
        <w:t>1.制作原则</w:t>
      </w:r>
    </w:p>
    <w:p w14:paraId="5217A096"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演示文稿要求集文字、图形、图像、声音以及视频等多种媒体元素于一体，一般不使用纯文字的演示文稿（PPT）； </w:t>
      </w:r>
    </w:p>
    <w:p w14:paraId="6F7879A6"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页面设置要求符合高清格式比例，幻灯片大小为“全屏显示 16:9”； </w:t>
      </w:r>
    </w:p>
    <w:p w14:paraId="7BDFC95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整体效果应风格统一、色彩协调、美观大方。 </w:t>
      </w:r>
    </w:p>
    <w:p w14:paraId="533D02EC"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2.字体与字号</w:t>
      </w:r>
    </w:p>
    <w:p w14:paraId="66A6079A"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字体与字号以美观得体为宜。</w:t>
      </w:r>
    </w:p>
    <w:p w14:paraId="0A7E800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3.版心与版式 </w:t>
      </w:r>
    </w:p>
    <w:p w14:paraId="32035C26"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每页四周留出空白，应避免内容顶到页面边缘，边界安全 区域分别为左、右 130 像素内，上、下 90 像素内。 </w:t>
      </w:r>
    </w:p>
    <w:p w14:paraId="45F2E716"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4.背景</w:t>
      </w:r>
    </w:p>
    <w:p w14:paraId="12980333"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背景色以简洁适中饱和度为主（颜色保持在一至两种色系内）； </w:t>
      </w:r>
    </w:p>
    <w:p w14:paraId="6CBF6496"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背景和场景不宜变化过多； </w:t>
      </w:r>
    </w:p>
    <w:p w14:paraId="0582BD04"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文字、图形等内容应与背景对比醒目。 </w:t>
      </w:r>
    </w:p>
    <w:p w14:paraId="0399F2F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5.色调 </w:t>
      </w:r>
    </w:p>
    <w:p w14:paraId="4409824E"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色彩的选配应与课程科目相吻合； </w:t>
      </w:r>
    </w:p>
    <w:p w14:paraId="3BD8CF1D"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每一短视频或一系列短视频在配色上应体现出系统性， 可选一种主色调再加上一至两种辅助色进行匹配； </w:t>
      </w:r>
    </w:p>
    <w:p w14:paraId="078E7124"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同一屏里文字不宜超出三种颜色。</w:t>
      </w:r>
    </w:p>
    <w:p w14:paraId="7E97313D"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6.字距与行距</w:t>
      </w:r>
    </w:p>
    <w:p w14:paraId="0948F616"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标题：在文字少的情形下，字距放宽一倍体现舒展性； </w:t>
      </w:r>
    </w:p>
    <w:p w14:paraId="4F156675"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正文：行距使用 1 行或 1.5 行，便于阅读。 </w:t>
      </w:r>
    </w:p>
    <w:p w14:paraId="030886C0"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7.配图 </w:t>
      </w:r>
    </w:p>
    <w:p w14:paraId="79262AF8"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图像应清晰并能反映出内容主题思想，分辨率应达到 72dpi 以上； </w:t>
      </w:r>
    </w:p>
    <w:p w14:paraId="484B6747"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图片不可加长或压窄，防止变形； </w:t>
      </w:r>
    </w:p>
    <w:p w14:paraId="0FC5F107"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图形使用应通俗易懂，便于理解。 </w:t>
      </w:r>
    </w:p>
    <w:p w14:paraId="37BC520A"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lastRenderedPageBreak/>
        <w:t xml:space="preserve">8.修饰。 </w:t>
      </w:r>
    </w:p>
    <w:p w14:paraId="4EA421D3"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细线条的运用比粗线条更显精致； </w:t>
      </w:r>
    </w:p>
    <w:p w14:paraId="09B26D7A"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 xml:space="preserve">扁平式的装饰更接近时代审美； </w:t>
      </w:r>
    </w:p>
    <w:p w14:paraId="1D1EA249" w14:textId="77777777" w:rsidR="00FD470F" w:rsidRDefault="00000000">
      <w:pPr>
        <w:spacing w:line="276" w:lineRule="auto"/>
        <w:ind w:firstLineChars="200" w:firstLine="420"/>
        <w:rPr>
          <w:rFonts w:ascii="宋体" w:hAnsi="宋体" w:cs="宋体"/>
          <w:szCs w:val="21"/>
        </w:rPr>
      </w:pPr>
      <w:r>
        <w:rPr>
          <w:rFonts w:ascii="宋体" w:hAnsi="宋体" w:cs="宋体" w:hint="eastAsia"/>
          <w:szCs w:val="21"/>
        </w:rPr>
        <w:t>有趣味的装饰通常更能吸引人。</w:t>
      </w:r>
    </w:p>
    <w:p w14:paraId="3B449081" w14:textId="77777777" w:rsidR="00FD470F" w:rsidRDefault="00FD470F">
      <w:pPr>
        <w:pStyle w:val="2"/>
      </w:pPr>
    </w:p>
    <w:p w14:paraId="51D1E815" w14:textId="77777777" w:rsidR="00FD470F" w:rsidRDefault="00FD470F">
      <w:pPr>
        <w:pStyle w:val="2"/>
        <w:ind w:leftChars="0" w:left="0" w:firstLineChars="0" w:firstLine="0"/>
        <w:rPr>
          <w:rFonts w:ascii="黑体" w:eastAsia="黑体" w:hAnsi="黑体"/>
          <w:color w:val="000000"/>
          <w:kern w:val="0"/>
          <w:sz w:val="44"/>
          <w:szCs w:val="44"/>
        </w:rPr>
      </w:pPr>
    </w:p>
    <w:p w14:paraId="7CC14BA9" w14:textId="77777777" w:rsidR="00FD470F" w:rsidRDefault="00000000">
      <w:pPr>
        <w:pStyle w:val="2"/>
        <w:ind w:leftChars="0" w:left="0" w:firstLineChars="0" w:firstLine="0"/>
        <w:rPr>
          <w:rFonts w:ascii="黑体" w:eastAsia="黑体" w:hAnsi="黑体"/>
          <w:color w:val="000000"/>
          <w:kern w:val="0"/>
          <w:sz w:val="44"/>
          <w:szCs w:val="44"/>
        </w:rPr>
      </w:pPr>
      <w:r>
        <w:rPr>
          <w:rFonts w:ascii="黑体" w:eastAsia="黑体" w:hAnsi="黑体" w:hint="eastAsia"/>
          <w:color w:val="000000"/>
          <w:kern w:val="0"/>
          <w:sz w:val="44"/>
          <w:szCs w:val="44"/>
        </w:rPr>
        <w:t>评分标准：</w:t>
      </w:r>
    </w:p>
    <w:tbl>
      <w:tblPr>
        <w:tblW w:w="9462" w:type="dxa"/>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firstRow="1" w:lastRow="0" w:firstColumn="1" w:lastColumn="0" w:noHBand="0" w:noVBand="1"/>
      </w:tblPr>
      <w:tblGrid>
        <w:gridCol w:w="675"/>
        <w:gridCol w:w="1347"/>
        <w:gridCol w:w="2085"/>
        <w:gridCol w:w="5355"/>
      </w:tblGrid>
      <w:tr w:rsidR="00FD470F" w14:paraId="45486C1F" w14:textId="77777777">
        <w:trPr>
          <w:trHeight w:val="402"/>
        </w:trPr>
        <w:tc>
          <w:tcPr>
            <w:tcW w:w="9462" w:type="dxa"/>
            <w:gridSpan w:val="4"/>
            <w:tcBorders>
              <w:bottom w:val="nil"/>
            </w:tcBorders>
            <w:shd w:val="clear" w:color="auto" w:fill="auto"/>
            <w:tcMar>
              <w:top w:w="15" w:type="dxa"/>
              <w:left w:w="15" w:type="dxa"/>
              <w:right w:w="15" w:type="dxa"/>
            </w:tcMar>
          </w:tcPr>
          <w:p w14:paraId="1E809107" w14:textId="77777777" w:rsidR="00FD470F" w:rsidRDefault="00000000">
            <w:pPr>
              <w:widowControl/>
              <w:jc w:val="left"/>
              <w:textAlignment w:val="top"/>
              <w:rPr>
                <w:rFonts w:ascii="楷体" w:eastAsia="楷体" w:hAnsi="楷体" w:cs="楷体"/>
                <w:color w:val="000000"/>
                <w:sz w:val="24"/>
              </w:rPr>
            </w:pPr>
            <w:r>
              <w:rPr>
                <w:rFonts w:ascii="楷体" w:eastAsia="楷体" w:hAnsi="楷体" w:cs="楷体" w:hint="eastAsia"/>
                <w:color w:val="000000"/>
                <w:kern w:val="0"/>
                <w:sz w:val="24"/>
                <w:lang w:bidi="ar"/>
              </w:rPr>
              <w:t>评分标准：</w:t>
            </w:r>
          </w:p>
        </w:tc>
      </w:tr>
      <w:tr w:rsidR="00FD470F" w14:paraId="2B136BC2" w14:textId="77777777">
        <w:trPr>
          <w:trHeight w:val="402"/>
        </w:trPr>
        <w:tc>
          <w:tcPr>
            <w:tcW w:w="675"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8AC0B" w14:textId="77777777" w:rsidR="00FD470F" w:rsidRDefault="00000000">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编号</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CE01C" w14:textId="77777777" w:rsidR="00FD470F" w:rsidRDefault="00000000">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条款号</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E8244" w14:textId="77777777" w:rsidR="00FD470F" w:rsidRDefault="00000000">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评审因素</w:t>
            </w:r>
          </w:p>
        </w:tc>
        <w:tc>
          <w:tcPr>
            <w:tcW w:w="535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1FE83A5B" w14:textId="77777777" w:rsidR="00FD470F" w:rsidRDefault="00000000">
            <w:pPr>
              <w:widowControl/>
              <w:jc w:val="center"/>
              <w:textAlignment w:val="center"/>
              <w:rPr>
                <w:rFonts w:ascii="楷体" w:eastAsia="楷体" w:hAnsi="楷体" w:cs="楷体"/>
                <w:b/>
                <w:color w:val="000000"/>
                <w:sz w:val="24"/>
              </w:rPr>
            </w:pPr>
            <w:r>
              <w:rPr>
                <w:rFonts w:ascii="楷体" w:eastAsia="楷体" w:hAnsi="楷体" w:cs="楷体" w:hint="eastAsia"/>
                <w:b/>
                <w:color w:val="000000"/>
                <w:kern w:val="0"/>
                <w:sz w:val="24"/>
                <w:lang w:bidi="ar"/>
              </w:rPr>
              <w:t>评审标准</w:t>
            </w:r>
          </w:p>
        </w:tc>
      </w:tr>
      <w:tr w:rsidR="00FD470F" w14:paraId="4D569402" w14:textId="77777777">
        <w:trPr>
          <w:trHeight w:val="1002"/>
        </w:trPr>
        <w:tc>
          <w:tcPr>
            <w:tcW w:w="675"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9BBE2"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98EBD"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报价部分（10分）</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5C6FE" w14:textId="77777777" w:rsidR="00FD470F" w:rsidRDefault="00FD470F">
            <w:pPr>
              <w:widowControl/>
              <w:jc w:val="center"/>
              <w:textAlignment w:val="center"/>
              <w:rPr>
                <w:rFonts w:ascii="楷体" w:eastAsia="楷体" w:hAnsi="楷体" w:cs="楷体"/>
                <w:color w:val="000000"/>
                <w:kern w:val="0"/>
                <w:sz w:val="24"/>
                <w:lang w:bidi="ar"/>
              </w:rPr>
            </w:pPr>
          </w:p>
          <w:p w14:paraId="64DFF269"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noProof/>
                <w:color w:val="000000"/>
                <w:kern w:val="0"/>
                <w:sz w:val="24"/>
                <w:bdr w:val="single" w:sz="4" w:space="0" w:color="000000"/>
                <w:lang w:bidi="ar"/>
              </w:rPr>
              <w:drawing>
                <wp:anchor distT="0" distB="0" distL="114300" distR="114300" simplePos="0" relativeHeight="251658240" behindDoc="0" locked="0" layoutInCell="1" allowOverlap="1" wp14:anchorId="6419A1EC" wp14:editId="4665B4DF">
                  <wp:simplePos x="0" y="0"/>
                  <wp:positionH relativeFrom="column">
                    <wp:posOffset>285750</wp:posOffset>
                  </wp:positionH>
                  <wp:positionV relativeFrom="paragraph">
                    <wp:posOffset>0</wp:posOffset>
                  </wp:positionV>
                  <wp:extent cx="552450" cy="3810"/>
                  <wp:effectExtent l="0" t="0" r="0" b="0"/>
                  <wp:wrapNone/>
                  <wp:docPr id="2" name="Picture_1"/>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8"/>
                          <a:stretch>
                            <a:fillRect/>
                          </a:stretch>
                        </pic:blipFill>
                        <pic:spPr>
                          <a:xfrm>
                            <a:off x="0" y="0"/>
                            <a:ext cx="552450" cy="3810"/>
                          </a:xfrm>
                          <a:prstGeom prst="rect">
                            <a:avLst/>
                          </a:prstGeom>
                          <a:noFill/>
                          <a:ln>
                            <a:noFill/>
                          </a:ln>
                        </pic:spPr>
                      </pic:pic>
                    </a:graphicData>
                  </a:graphic>
                </wp:anchor>
              </w:drawing>
            </w:r>
            <w:r>
              <w:rPr>
                <w:rFonts w:ascii="楷体" w:eastAsia="楷体" w:hAnsi="楷体" w:cs="楷体" w:hint="eastAsia"/>
                <w:noProof/>
                <w:color w:val="000000"/>
                <w:kern w:val="0"/>
                <w:sz w:val="24"/>
                <w:bdr w:val="single" w:sz="4" w:space="0" w:color="000000"/>
                <w:lang w:bidi="ar"/>
              </w:rPr>
              <w:drawing>
                <wp:anchor distT="0" distB="0" distL="114300" distR="114300" simplePos="0" relativeHeight="251657216" behindDoc="0" locked="0" layoutInCell="1" allowOverlap="1" wp14:anchorId="46D8BC8F" wp14:editId="03C682DC">
                  <wp:simplePos x="0" y="0"/>
                  <wp:positionH relativeFrom="column">
                    <wp:posOffset>333375</wp:posOffset>
                  </wp:positionH>
                  <wp:positionV relativeFrom="paragraph">
                    <wp:posOffset>0</wp:posOffset>
                  </wp:positionV>
                  <wp:extent cx="696595" cy="1905"/>
                  <wp:effectExtent l="0" t="0" r="0" b="0"/>
                  <wp:wrapNone/>
                  <wp:docPr id="1" name="Picture_3"/>
                  <wp:cNvGraphicFramePr/>
                  <a:graphic xmlns:a="http://schemas.openxmlformats.org/drawingml/2006/main">
                    <a:graphicData uri="http://schemas.openxmlformats.org/drawingml/2006/picture">
                      <pic:pic xmlns:pic="http://schemas.openxmlformats.org/drawingml/2006/picture">
                        <pic:nvPicPr>
                          <pic:cNvPr id="1" name="Picture_3"/>
                          <pic:cNvPicPr/>
                        </pic:nvPicPr>
                        <pic:blipFill>
                          <a:blip r:embed="rId9"/>
                          <a:stretch>
                            <a:fillRect/>
                          </a:stretch>
                        </pic:blipFill>
                        <pic:spPr>
                          <a:xfrm>
                            <a:off x="0" y="0"/>
                            <a:ext cx="696595" cy="1905"/>
                          </a:xfrm>
                          <a:prstGeom prst="rect">
                            <a:avLst/>
                          </a:prstGeom>
                          <a:noFill/>
                          <a:ln>
                            <a:noFill/>
                          </a:ln>
                        </pic:spPr>
                      </pic:pic>
                    </a:graphicData>
                  </a:graphic>
                </wp:anchor>
              </w:drawing>
            </w:r>
            <w:r>
              <w:rPr>
                <w:rFonts w:ascii="楷体" w:eastAsia="楷体" w:hAnsi="楷体" w:cs="楷体" w:hint="eastAsia"/>
                <w:color w:val="000000"/>
                <w:kern w:val="0"/>
                <w:sz w:val="24"/>
                <w:lang w:bidi="ar"/>
              </w:rPr>
              <w:t>评分标准</w:t>
            </w:r>
          </w:p>
        </w:tc>
        <w:tc>
          <w:tcPr>
            <w:tcW w:w="535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7E6394F6" w14:textId="77777777" w:rsidR="00FD470F" w:rsidRDefault="00000000">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评标基准价是指满足招标文件规定、符合招标文件技术要求的最低投标报价为评标基准价。其他投标人的价格分统一按照下列公式计算：投标报价得分=（评标基准价/投标报价）×100%×10</w:t>
            </w:r>
          </w:p>
        </w:tc>
      </w:tr>
      <w:tr w:rsidR="00FD470F" w14:paraId="556A01B6" w14:textId="77777777">
        <w:trPr>
          <w:trHeight w:val="1200"/>
        </w:trPr>
        <w:tc>
          <w:tcPr>
            <w:tcW w:w="675" w:type="dxa"/>
            <w:vMerge w:val="restart"/>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8E746"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2</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D1409"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技术部分（45分）</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69289"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商务、技术响应情况（5分）</w:t>
            </w:r>
          </w:p>
        </w:tc>
        <w:tc>
          <w:tcPr>
            <w:tcW w:w="535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21304F96" w14:textId="77777777" w:rsidR="00FD470F" w:rsidRDefault="00000000">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所投的在线课程完全满足招标文件要求的计5分；技术要求与商务要求每不响应或负偏离一项扣2.5分，扣完为止；注：按课程要求中有要求提供证明材料的，需提供加证明材料，未提供的视为负偏离。</w:t>
            </w:r>
          </w:p>
        </w:tc>
      </w:tr>
      <w:tr w:rsidR="00FD470F" w14:paraId="497AECFA" w14:textId="77777777">
        <w:trPr>
          <w:trHeight w:val="799"/>
        </w:trPr>
        <w:tc>
          <w:tcPr>
            <w:tcW w:w="675"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08340" w14:textId="77777777" w:rsidR="00FD470F" w:rsidRDefault="00FD470F">
            <w:pPr>
              <w:jc w:val="center"/>
              <w:rPr>
                <w:rFonts w:ascii="楷体" w:eastAsia="楷体" w:hAnsi="楷体" w:cs="楷体"/>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809D1" w14:textId="77777777" w:rsidR="00FD470F" w:rsidRDefault="00FD470F">
            <w:pPr>
              <w:jc w:val="center"/>
              <w:rPr>
                <w:rFonts w:ascii="楷体" w:eastAsia="楷体" w:hAnsi="楷体" w:cs="楷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D490D" w14:textId="77777777" w:rsidR="00FD470F" w:rsidRDefault="00000000">
            <w:pPr>
              <w:widowControl/>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公司实力</w:t>
            </w:r>
          </w:p>
          <w:p w14:paraId="20D8656C"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kern w:val="0"/>
                <w:sz w:val="24"/>
                <w:lang w:bidi="ar"/>
              </w:rPr>
              <w:t>（18分）</w:t>
            </w:r>
          </w:p>
        </w:tc>
        <w:tc>
          <w:tcPr>
            <w:tcW w:w="535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28B79F1A" w14:textId="77777777" w:rsidR="00FD470F" w:rsidRDefault="00000000">
            <w:pPr>
              <w:widowControl/>
              <w:numPr>
                <w:ilvl w:val="0"/>
                <w:numId w:val="1"/>
              </w:numP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投标人有课程平台（具有相应的软件著作权登记证书以及软件产品证书）的，得7分；投标人没有课程平台但能提供第三方课程平台（具有相应的软件著作权登记证书或软件产品登记证书）的，得3分；投标人无可用平台但承诺能为课程在第三方平台运行免费提供支持服务的，得2分；其它的计0分。</w:t>
            </w:r>
          </w:p>
          <w:p w14:paraId="275F6B22" w14:textId="77777777" w:rsidR="00FD470F" w:rsidRDefault="00000000">
            <w:pPr>
              <w:widowControl/>
              <w:numPr>
                <w:ilvl w:val="0"/>
                <w:numId w:val="1"/>
              </w:numP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提供投标人的课程共享平台《信息系统安全等级保护》备案证明，三级得5分，二级得2分，其它得0分。</w:t>
            </w:r>
          </w:p>
          <w:p w14:paraId="129DC428" w14:textId="77777777" w:rsidR="00FD470F" w:rsidRDefault="00000000">
            <w:pPr>
              <w:widowControl/>
              <w:textAlignment w:val="center"/>
              <w:rPr>
                <w:rFonts w:ascii="楷体" w:eastAsia="楷体" w:hAnsi="楷体" w:cs="楷体"/>
                <w:color w:val="000000"/>
                <w:sz w:val="24"/>
              </w:rPr>
            </w:pPr>
            <w:r>
              <w:rPr>
                <w:rFonts w:ascii="楷体" w:eastAsia="楷体" w:hAnsi="楷体" w:cs="楷体" w:hint="eastAsia"/>
                <w:color w:val="000000"/>
                <w:kern w:val="0"/>
                <w:sz w:val="24"/>
                <w:lang w:bidi="ar"/>
              </w:rPr>
              <w:t>3.投标人具有视频录播系统类专利，满足得6分，不提供不得分［要求提供有效的产权（专利）证书等证明材料作为得分依据。以上资料要求提供扫描件（或官方网站截图），原件备查。评分中出现无证明资料或专家无法凭所提供资料判断是否得分的情况，一律作不得分处理。］</w:t>
            </w:r>
          </w:p>
        </w:tc>
      </w:tr>
      <w:tr w:rsidR="00FD470F" w14:paraId="6F8F56B2" w14:textId="77777777">
        <w:trPr>
          <w:trHeight w:val="1380"/>
        </w:trPr>
        <w:tc>
          <w:tcPr>
            <w:tcW w:w="675"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20060" w14:textId="77777777" w:rsidR="00FD470F" w:rsidRDefault="00FD470F">
            <w:pPr>
              <w:jc w:val="center"/>
              <w:rPr>
                <w:rFonts w:ascii="楷体" w:eastAsia="楷体" w:hAnsi="楷体" w:cs="楷体"/>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51646" w14:textId="77777777" w:rsidR="00FD470F" w:rsidRDefault="00FD470F">
            <w:pPr>
              <w:jc w:val="center"/>
              <w:rPr>
                <w:rFonts w:ascii="楷体" w:eastAsia="楷体" w:hAnsi="楷体" w:cs="楷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46C80" w14:textId="77777777" w:rsidR="00FD470F" w:rsidRDefault="00000000">
            <w:pPr>
              <w:widowControl/>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技术方案</w:t>
            </w:r>
          </w:p>
          <w:p w14:paraId="69E321B8"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（12分）</w:t>
            </w:r>
          </w:p>
        </w:tc>
        <w:tc>
          <w:tcPr>
            <w:tcW w:w="535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49918B07" w14:textId="77777777" w:rsidR="00FD470F" w:rsidRDefault="00000000">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根据投标人提供包含设备和人员配置等技术服务的技术方案进行横向综合比较评价，是否能够符合服务的实际情况，是否满足业主单位服务需求，是否有针对性，切实可行等情况酌情打分；按优劣分档计分：第一档9-12分，第二档4-8分，第三档1-3分，未提供计0分。</w:t>
            </w:r>
          </w:p>
        </w:tc>
      </w:tr>
      <w:tr w:rsidR="00FD470F" w14:paraId="0508F311" w14:textId="77777777">
        <w:trPr>
          <w:trHeight w:val="1399"/>
        </w:trPr>
        <w:tc>
          <w:tcPr>
            <w:tcW w:w="675"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DCB9E" w14:textId="77777777" w:rsidR="00FD470F" w:rsidRDefault="00FD470F">
            <w:pPr>
              <w:jc w:val="center"/>
              <w:rPr>
                <w:rFonts w:ascii="楷体" w:eastAsia="楷体" w:hAnsi="楷体" w:cs="楷体"/>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96E66" w14:textId="77777777" w:rsidR="00FD470F" w:rsidRDefault="00FD470F">
            <w:pPr>
              <w:jc w:val="center"/>
              <w:rPr>
                <w:rFonts w:ascii="楷体" w:eastAsia="楷体" w:hAnsi="楷体" w:cs="楷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D1E84" w14:textId="77777777" w:rsidR="00FD470F" w:rsidRDefault="00000000">
            <w:pPr>
              <w:widowControl/>
              <w:jc w:val="center"/>
              <w:textAlignment w:val="center"/>
              <w:rPr>
                <w:rFonts w:ascii="楷体" w:eastAsia="楷体" w:hAnsi="楷体" w:cs="楷体"/>
                <w:color w:val="000000"/>
                <w:kern w:val="0"/>
                <w:sz w:val="24"/>
                <w:lang w:bidi="ar"/>
              </w:rPr>
            </w:pPr>
            <w:r>
              <w:rPr>
                <w:rFonts w:ascii="楷体" w:eastAsia="楷体" w:hAnsi="楷体" w:cs="楷体" w:hint="eastAsia"/>
                <w:color w:val="000000"/>
                <w:kern w:val="0"/>
                <w:sz w:val="24"/>
                <w:lang w:bidi="ar"/>
              </w:rPr>
              <w:t>现场演示</w:t>
            </w:r>
          </w:p>
          <w:p w14:paraId="3CD87150"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（10分）</w:t>
            </w:r>
          </w:p>
        </w:tc>
        <w:tc>
          <w:tcPr>
            <w:tcW w:w="535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567FEF37" w14:textId="77777777" w:rsidR="00FD470F" w:rsidRDefault="00000000">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现场演示一门课程导学片花、专家共享课程评审视频片段1、现场演示包含课程导学片花、专家共享课程评审两项，根据内容匹配度和制作精良度计分7-10分；2、现场演示包含课程导学片花或专家共享课程评审其中一项的，根据内容匹配度和制作精良度计分1-6分；3、无演示，得0分。</w:t>
            </w:r>
          </w:p>
        </w:tc>
      </w:tr>
      <w:tr w:rsidR="00FD470F" w14:paraId="228127BF" w14:textId="77777777">
        <w:trPr>
          <w:trHeight w:val="1680"/>
        </w:trPr>
        <w:tc>
          <w:tcPr>
            <w:tcW w:w="675" w:type="dxa"/>
            <w:vMerge w:val="restart"/>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17DBC"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3</w:t>
            </w:r>
          </w:p>
        </w:tc>
        <w:tc>
          <w:tcPr>
            <w:tcW w:w="134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175BC"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商务部分（45分）</w:t>
            </w: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E5802"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类似业绩及经验 （25分）</w:t>
            </w:r>
          </w:p>
        </w:tc>
        <w:tc>
          <w:tcPr>
            <w:tcW w:w="535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1F730CBC" w14:textId="77777777" w:rsidR="00FD470F" w:rsidRDefault="00000000">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依托投标人的课程运营平台运行申报并获得教育部2017年以来的国家级精品在线开放课程和国家级线上一流课程认定的数量情况，在0—25分间差别赋分：500门及以上得25分，400-499门得15分，300-399门得10分，10-299门得5分，10门以下得0分；</w:t>
            </w:r>
          </w:p>
          <w:p w14:paraId="1BBC5121" w14:textId="77777777" w:rsidR="00FD470F" w:rsidRDefault="00000000">
            <w:pPr>
              <w:widowControl/>
              <w:textAlignment w:val="center"/>
              <w:rPr>
                <w:rFonts w:ascii="楷体" w:eastAsia="楷体" w:hAnsi="楷体" w:cs="楷体"/>
                <w:color w:val="000000"/>
                <w:sz w:val="24"/>
              </w:rPr>
            </w:pPr>
            <w:r>
              <w:rPr>
                <w:rFonts w:ascii="楷体" w:eastAsia="楷体" w:hAnsi="楷体" w:cs="楷体" w:hint="eastAsia"/>
                <w:color w:val="000000"/>
                <w:kern w:val="0"/>
                <w:sz w:val="24"/>
                <w:lang w:bidi="ar"/>
              </w:rPr>
              <w:t>以上获奖课程均须提供教育部官方网站公示链接和截图及相关公示课程名单信息含课程名称、学校、教师等详细信息。不提供不得分。提供虚假资料的按无效投标处理。</w:t>
            </w:r>
          </w:p>
        </w:tc>
      </w:tr>
      <w:tr w:rsidR="00FD470F" w14:paraId="2DBDAA9A" w14:textId="77777777">
        <w:trPr>
          <w:trHeight w:val="799"/>
        </w:trPr>
        <w:tc>
          <w:tcPr>
            <w:tcW w:w="675"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E8C2C" w14:textId="77777777" w:rsidR="00FD470F" w:rsidRDefault="00FD470F">
            <w:pPr>
              <w:jc w:val="center"/>
              <w:rPr>
                <w:rFonts w:ascii="楷体" w:eastAsia="楷体" w:hAnsi="楷体" w:cs="楷体"/>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46042" w14:textId="77777777" w:rsidR="00FD470F" w:rsidRDefault="00FD470F">
            <w:pPr>
              <w:jc w:val="center"/>
              <w:rPr>
                <w:rFonts w:ascii="楷体" w:eastAsia="楷体" w:hAnsi="楷体" w:cs="楷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D8982"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基地建设        （5分）</w:t>
            </w:r>
          </w:p>
        </w:tc>
        <w:tc>
          <w:tcPr>
            <w:tcW w:w="535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46F12FA5" w14:textId="77777777" w:rsidR="00FD470F" w:rsidRDefault="00000000">
            <w:pPr>
              <w:widowControl/>
              <w:textAlignment w:val="center"/>
              <w:rPr>
                <w:rFonts w:ascii="楷体" w:eastAsia="楷体" w:hAnsi="楷体" w:cs="楷体"/>
                <w:color w:val="000000"/>
                <w:sz w:val="24"/>
              </w:rPr>
            </w:pPr>
            <w:r>
              <w:rPr>
                <w:rFonts w:ascii="楷体" w:eastAsia="楷体" w:hAnsi="楷体" w:cs="楷体" w:hint="eastAsia"/>
                <w:color w:val="000000"/>
                <w:kern w:val="0"/>
                <w:sz w:val="24"/>
                <w:lang w:bidi="ar"/>
              </w:rPr>
              <w:t>供应商承诺课程建设期间在</w:t>
            </w:r>
            <w:r>
              <w:rPr>
                <w:rFonts w:ascii="楷体" w:eastAsia="楷体" w:hAnsi="楷体" w:cs="楷体" w:hint="eastAsia"/>
                <w:kern w:val="0"/>
                <w:sz w:val="24"/>
                <w:lang w:bidi="ar"/>
              </w:rPr>
              <w:t>xxxx校内</w:t>
            </w:r>
            <w:r>
              <w:rPr>
                <w:rFonts w:ascii="楷体" w:eastAsia="楷体" w:hAnsi="楷体" w:cs="楷体" w:hint="eastAsia"/>
                <w:color w:val="000000"/>
                <w:kern w:val="0"/>
                <w:sz w:val="24"/>
                <w:lang w:bidi="ar"/>
              </w:rPr>
              <w:t>建成拍摄影棚或者已经在本校内建成了拍摄影棚的的，得5分。注：投标文件中提供出具承诺书，未出具承诺书的得0分。</w:t>
            </w:r>
          </w:p>
        </w:tc>
      </w:tr>
      <w:tr w:rsidR="00FD470F" w14:paraId="0CB99065" w14:textId="77777777">
        <w:trPr>
          <w:trHeight w:val="1440"/>
        </w:trPr>
        <w:tc>
          <w:tcPr>
            <w:tcW w:w="675" w:type="dxa"/>
            <w:vMerge/>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6B1BB" w14:textId="77777777" w:rsidR="00FD470F" w:rsidRDefault="00FD470F">
            <w:pPr>
              <w:jc w:val="center"/>
              <w:rPr>
                <w:rFonts w:ascii="楷体" w:eastAsia="楷体" w:hAnsi="楷体" w:cs="楷体"/>
                <w:color w:val="000000"/>
                <w:sz w:val="24"/>
              </w:rPr>
            </w:pPr>
          </w:p>
        </w:tc>
        <w:tc>
          <w:tcPr>
            <w:tcW w:w="134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D4055" w14:textId="77777777" w:rsidR="00FD470F" w:rsidRDefault="00FD470F">
            <w:pPr>
              <w:jc w:val="center"/>
              <w:rPr>
                <w:rFonts w:ascii="楷体" w:eastAsia="楷体" w:hAnsi="楷体" w:cs="楷体"/>
                <w:color w:val="000000"/>
                <w:sz w:val="24"/>
              </w:rPr>
            </w:pPr>
          </w:p>
        </w:tc>
        <w:tc>
          <w:tcPr>
            <w:tcW w:w="20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9B7D8"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售后服务机构   （10分）</w:t>
            </w:r>
          </w:p>
        </w:tc>
        <w:tc>
          <w:tcPr>
            <w:tcW w:w="5355"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14:paraId="154ED7CD" w14:textId="77777777" w:rsidR="00FD470F" w:rsidRDefault="00000000">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投标人在xxxx设有售后服务机构（须提供场地照片、房屋租赁或购买合同或高校盖章的基地共建合作协议复印件），且有专职售后服务人员的计10分；在湖南省内设有办事服务机构，可提供相关证明材料的，计2分；其他情况计0分。</w:t>
            </w:r>
          </w:p>
        </w:tc>
      </w:tr>
      <w:tr w:rsidR="00FD470F" w14:paraId="72B751A4" w14:textId="77777777">
        <w:trPr>
          <w:trHeight w:val="1002"/>
        </w:trPr>
        <w:tc>
          <w:tcPr>
            <w:tcW w:w="675" w:type="dxa"/>
            <w:vMerge/>
            <w:tcBorders>
              <w:top w:val="single" w:sz="4" w:space="0" w:color="000000"/>
              <w:right w:val="single" w:sz="4" w:space="0" w:color="000000"/>
            </w:tcBorders>
            <w:shd w:val="clear" w:color="auto" w:fill="auto"/>
            <w:tcMar>
              <w:top w:w="15" w:type="dxa"/>
              <w:left w:w="15" w:type="dxa"/>
              <w:right w:w="15" w:type="dxa"/>
            </w:tcMar>
            <w:vAlign w:val="center"/>
          </w:tcPr>
          <w:p w14:paraId="45E519A7" w14:textId="77777777" w:rsidR="00FD470F" w:rsidRDefault="00FD470F">
            <w:pPr>
              <w:jc w:val="center"/>
              <w:rPr>
                <w:rFonts w:ascii="楷体" w:eastAsia="楷体" w:hAnsi="楷体" w:cs="楷体"/>
                <w:color w:val="000000"/>
                <w:sz w:val="24"/>
              </w:rPr>
            </w:pPr>
          </w:p>
        </w:tc>
        <w:tc>
          <w:tcPr>
            <w:tcW w:w="1347" w:type="dxa"/>
            <w:vMerge/>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11606E5" w14:textId="77777777" w:rsidR="00FD470F" w:rsidRDefault="00FD470F">
            <w:pPr>
              <w:jc w:val="center"/>
              <w:rPr>
                <w:rFonts w:ascii="楷体" w:eastAsia="楷体" w:hAnsi="楷体" w:cs="楷体"/>
                <w:color w:val="000000"/>
                <w:sz w:val="24"/>
              </w:rPr>
            </w:pPr>
          </w:p>
        </w:tc>
        <w:tc>
          <w:tcPr>
            <w:tcW w:w="2085" w:type="dxa"/>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5132FE5" w14:textId="77777777" w:rsidR="00FD470F" w:rsidRDefault="00000000">
            <w:pPr>
              <w:widowControl/>
              <w:jc w:val="center"/>
              <w:textAlignment w:val="center"/>
              <w:rPr>
                <w:rFonts w:ascii="楷体" w:eastAsia="楷体" w:hAnsi="楷体" w:cs="楷体"/>
                <w:color w:val="000000"/>
                <w:sz w:val="24"/>
              </w:rPr>
            </w:pPr>
            <w:r>
              <w:rPr>
                <w:rFonts w:ascii="楷体" w:eastAsia="楷体" w:hAnsi="楷体" w:cs="楷体" w:hint="eastAsia"/>
                <w:color w:val="000000"/>
                <w:kern w:val="0"/>
                <w:sz w:val="24"/>
                <w:lang w:bidi="ar"/>
              </w:rPr>
              <w:t>标书编制（5分）</w:t>
            </w:r>
          </w:p>
        </w:tc>
        <w:tc>
          <w:tcPr>
            <w:tcW w:w="5355" w:type="dxa"/>
            <w:tcBorders>
              <w:top w:val="single" w:sz="4" w:space="0" w:color="000000"/>
              <w:left w:val="single" w:sz="4" w:space="0" w:color="000000"/>
            </w:tcBorders>
            <w:shd w:val="clear" w:color="auto" w:fill="auto"/>
            <w:tcMar>
              <w:top w:w="15" w:type="dxa"/>
              <w:left w:w="15" w:type="dxa"/>
              <w:right w:w="15" w:type="dxa"/>
            </w:tcMar>
            <w:vAlign w:val="center"/>
          </w:tcPr>
          <w:p w14:paraId="0C214095" w14:textId="77777777" w:rsidR="00FD470F" w:rsidRDefault="00000000">
            <w:pPr>
              <w:widowControl/>
              <w:jc w:val="left"/>
              <w:textAlignment w:val="center"/>
              <w:rPr>
                <w:rFonts w:ascii="楷体" w:eastAsia="楷体" w:hAnsi="楷体" w:cs="楷体"/>
                <w:color w:val="000000"/>
                <w:sz w:val="24"/>
              </w:rPr>
            </w:pPr>
            <w:r>
              <w:rPr>
                <w:rFonts w:ascii="楷体" w:eastAsia="楷体" w:hAnsi="楷体" w:cs="楷体" w:hint="eastAsia"/>
                <w:color w:val="000000"/>
                <w:kern w:val="0"/>
                <w:sz w:val="24"/>
                <w:lang w:bidi="ar"/>
              </w:rPr>
              <w:t>投标书按招标文件规定的格式、顺序编制、有目录、编页码，装订成册，书面整洁无涂改，没有缺漏项，价格数量等计算准确的，计5分；不符合要求的，每处扣1分，扣完为止。</w:t>
            </w:r>
          </w:p>
        </w:tc>
      </w:tr>
      <w:bookmarkEnd w:id="5"/>
      <w:bookmarkEnd w:id="6"/>
    </w:tbl>
    <w:p w14:paraId="7DC405A6" w14:textId="77777777" w:rsidR="00FD470F" w:rsidRDefault="00FD470F">
      <w:pPr>
        <w:spacing w:line="276" w:lineRule="auto"/>
        <w:rPr>
          <w:rFonts w:ascii="宋体" w:hAnsi="宋体" w:cs="宋体"/>
          <w:szCs w:val="21"/>
        </w:rPr>
      </w:pPr>
    </w:p>
    <w:sectPr w:rsidR="00FD470F">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1B6D" w14:textId="77777777" w:rsidR="00404FFB" w:rsidRDefault="00404FFB">
      <w:r>
        <w:separator/>
      </w:r>
    </w:p>
  </w:endnote>
  <w:endnote w:type="continuationSeparator" w:id="0">
    <w:p w14:paraId="7375586D" w14:textId="77777777" w:rsidR="00404FFB" w:rsidRDefault="0040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C911" w14:textId="77777777" w:rsidR="00FD470F" w:rsidRDefault="00000000">
    <w:pPr>
      <w:pStyle w:val="a9"/>
      <w:ind w:right="360"/>
      <w:jc w:val="right"/>
      <w:rPr>
        <w:rFonts w:ascii="新宋体" w:eastAsia="新宋体" w:hAnsi="新宋体"/>
        <w:sz w:val="21"/>
      </w:rPr>
    </w:pPr>
    <w:r>
      <w:rPr>
        <w:rFonts w:ascii="宋体" w:hAnsi="宋体"/>
        <w:noProof/>
        <w:sz w:val="21"/>
      </w:rPr>
      <mc:AlternateContent>
        <mc:Choice Requires="wps">
          <w:drawing>
            <wp:anchor distT="0" distB="0" distL="114300" distR="114300" simplePos="0" relativeHeight="251660288" behindDoc="0" locked="0" layoutInCell="1" allowOverlap="1" wp14:anchorId="7B745FEC" wp14:editId="3A90D3FA">
              <wp:simplePos x="0" y="0"/>
              <wp:positionH relativeFrom="margin">
                <wp:align>right</wp:align>
              </wp:positionH>
              <wp:positionV relativeFrom="paragraph">
                <wp:posOffset>0</wp:posOffset>
              </wp:positionV>
              <wp:extent cx="629285" cy="172720"/>
              <wp:effectExtent l="0" t="0" r="0" b="0"/>
              <wp:wrapNone/>
              <wp:docPr id="3" name="文本框 5122"/>
              <wp:cNvGraphicFramePr/>
              <a:graphic xmlns:a="http://schemas.openxmlformats.org/drawingml/2006/main">
                <a:graphicData uri="http://schemas.microsoft.com/office/word/2010/wordprocessingShape">
                  <wps:wsp>
                    <wps:cNvSpPr txBox="1"/>
                    <wps:spPr>
                      <a:xfrm>
                        <a:off x="0" y="0"/>
                        <a:ext cx="629285" cy="172720"/>
                      </a:xfrm>
                      <a:prstGeom prst="rect">
                        <a:avLst/>
                      </a:prstGeom>
                      <a:noFill/>
                      <a:ln w="15875">
                        <a:noFill/>
                      </a:ln>
                    </wps:spPr>
                    <wps:txbx>
                      <w:txbxContent>
                        <w:p w14:paraId="6120DF62" w14:textId="77777777" w:rsidR="00FD470F" w:rsidRDefault="00000000">
                          <w:pPr>
                            <w:pStyle w:val="a9"/>
                            <w:ind w:right="360"/>
                            <w:jc w:val="right"/>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Pr>
                              <w:rFonts w:ascii="新宋体" w:eastAsia="新宋体" w:hAnsi="新宋体"/>
                              <w:kern w:val="0"/>
                              <w:sz w:val="21"/>
                              <w:szCs w:val="21"/>
                            </w:rPr>
                            <w:t>2</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txbxContent>
                    </wps:txbx>
                    <wps:bodyPr wrap="none" lIns="0" tIns="0" rIns="0" bIns="0" upright="1">
                      <a:spAutoFit/>
                    </wps:bodyPr>
                  </wps:wsp>
                </a:graphicData>
              </a:graphic>
            </wp:anchor>
          </w:drawing>
        </mc:Choice>
        <mc:Fallback>
          <w:pict>
            <v:shapetype w14:anchorId="7B745FEC" id="_x0000_t202" coordsize="21600,21600" o:spt="202" path="m,l,21600r21600,l21600,xe">
              <v:stroke joinstyle="miter"/>
              <v:path gradientshapeok="t" o:connecttype="rect"/>
            </v:shapetype>
            <v:shape id="文本框 5122" o:spid="_x0000_s1026" type="#_x0000_t202" style="position:absolute;left:0;text-align:left;margin-left:-1.65pt;margin-top:0;width:49.55pt;height:13.6pt;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" filled="f" stroked="f" strokeweight="1.25pt">
              <v:textbox style="mso-fit-shape-to-text:t" inset="0,0,0,0">
                <w:txbxContent>
                  <w:p w14:paraId="6120DF62" w14:textId="77777777" w:rsidR="00FD470F" w:rsidRDefault="00000000">
                    <w:pPr>
                      <w:pStyle w:val="a9"/>
                      <w:ind w:right="360"/>
                      <w:jc w:val="right"/>
                    </w:pPr>
                    <w:r>
                      <w:rPr>
                        <w:rFonts w:ascii="新宋体" w:eastAsia="新宋体" w:hAnsi="新宋体"/>
                        <w:kern w:val="0"/>
                        <w:sz w:val="21"/>
                        <w:szCs w:val="21"/>
                      </w:rPr>
                      <w:t xml:space="preserve">- </w:t>
                    </w:r>
                    <w:r>
                      <w:rPr>
                        <w:rFonts w:ascii="新宋体" w:eastAsia="新宋体" w:hAnsi="新宋体"/>
                        <w:kern w:val="0"/>
                        <w:sz w:val="21"/>
                        <w:szCs w:val="21"/>
                      </w:rPr>
                      <w:fldChar w:fldCharType="begin"/>
                    </w:r>
                    <w:r>
                      <w:rPr>
                        <w:rFonts w:ascii="新宋体" w:eastAsia="新宋体" w:hAnsi="新宋体"/>
                        <w:kern w:val="0"/>
                        <w:sz w:val="21"/>
                        <w:szCs w:val="21"/>
                      </w:rPr>
                      <w:instrText xml:space="preserve"> PAGE </w:instrText>
                    </w:r>
                    <w:r>
                      <w:rPr>
                        <w:rFonts w:ascii="新宋体" w:eastAsia="新宋体" w:hAnsi="新宋体"/>
                        <w:kern w:val="0"/>
                        <w:sz w:val="21"/>
                        <w:szCs w:val="21"/>
                      </w:rPr>
                      <w:fldChar w:fldCharType="separate"/>
                    </w:r>
                    <w:r>
                      <w:rPr>
                        <w:rFonts w:ascii="新宋体" w:eastAsia="新宋体" w:hAnsi="新宋体"/>
                        <w:kern w:val="0"/>
                        <w:sz w:val="21"/>
                        <w:szCs w:val="21"/>
                      </w:rPr>
                      <w:t>2</w:t>
                    </w:r>
                    <w:r>
                      <w:rPr>
                        <w:rFonts w:ascii="新宋体" w:eastAsia="新宋体" w:hAnsi="新宋体"/>
                        <w:kern w:val="0"/>
                        <w:sz w:val="21"/>
                        <w:szCs w:val="21"/>
                      </w:rPr>
                      <w:fldChar w:fldCharType="end"/>
                    </w:r>
                    <w:r>
                      <w:rPr>
                        <w:rFonts w:ascii="新宋体" w:eastAsia="新宋体" w:hAnsi="新宋体"/>
                        <w:kern w:val="0"/>
                        <w:sz w:val="21"/>
                        <w:szCs w:val="21"/>
                      </w:rPr>
                      <w:t xml:space="preserve"> -</w:t>
                    </w:r>
                  </w:p>
                </w:txbxContent>
              </v:textbox>
              <w10:wrap anchorx="margin"/>
            </v:shape>
          </w:pict>
        </mc:Fallback>
      </mc:AlternateContent>
    </w:r>
  </w:p>
  <w:p w14:paraId="3FCE8FBB" w14:textId="77777777" w:rsidR="00FD470F" w:rsidRDefault="00FD470F">
    <w:pPr>
      <w:pStyle w:val="a9"/>
      <w:ind w:right="360"/>
      <w:rPr>
        <w:rFonts w:eastAsia="楷体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B211" w14:textId="77777777" w:rsidR="00404FFB" w:rsidRDefault="00404FFB">
      <w:r>
        <w:separator/>
      </w:r>
    </w:p>
  </w:footnote>
  <w:footnote w:type="continuationSeparator" w:id="0">
    <w:p w14:paraId="6BF0C2C5" w14:textId="77777777" w:rsidR="00404FFB" w:rsidRDefault="0040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0A10" w14:textId="77777777" w:rsidR="00FD470F" w:rsidRDefault="00FD470F">
    <w:pPr>
      <w:pStyle w:val="a9"/>
      <w:ind w:right="360"/>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13D7EF0"/>
    <w:multiLevelType w:val="singleLevel"/>
    <w:tmpl w:val="A13D7EF0"/>
    <w:lvl w:ilvl="0">
      <w:start w:val="1"/>
      <w:numFmt w:val="decimal"/>
      <w:lvlText w:val="%1."/>
      <w:lvlJc w:val="left"/>
      <w:pPr>
        <w:tabs>
          <w:tab w:val="left" w:pos="312"/>
        </w:tabs>
      </w:pPr>
    </w:lvl>
  </w:abstractNum>
  <w:num w:numId="1" w16cid:durableId="178791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29522F"/>
    <w:rsid w:val="0002078E"/>
    <w:rsid w:val="00023656"/>
    <w:rsid w:val="00030FB0"/>
    <w:rsid w:val="00047606"/>
    <w:rsid w:val="00061F5B"/>
    <w:rsid w:val="00062A2B"/>
    <w:rsid w:val="0006362F"/>
    <w:rsid w:val="0007230E"/>
    <w:rsid w:val="0008171F"/>
    <w:rsid w:val="000829A6"/>
    <w:rsid w:val="000856ED"/>
    <w:rsid w:val="000B4E82"/>
    <w:rsid w:val="000D2AE7"/>
    <w:rsid w:val="000D3183"/>
    <w:rsid w:val="000F7822"/>
    <w:rsid w:val="0010412A"/>
    <w:rsid w:val="00125379"/>
    <w:rsid w:val="00153E4D"/>
    <w:rsid w:val="0016282A"/>
    <w:rsid w:val="00167CF1"/>
    <w:rsid w:val="00176959"/>
    <w:rsid w:val="001935FB"/>
    <w:rsid w:val="001B4BEB"/>
    <w:rsid w:val="001D4F94"/>
    <w:rsid w:val="001D7E20"/>
    <w:rsid w:val="001E7723"/>
    <w:rsid w:val="001F1586"/>
    <w:rsid w:val="001F2BF6"/>
    <w:rsid w:val="00205692"/>
    <w:rsid w:val="00211A0A"/>
    <w:rsid w:val="00230D23"/>
    <w:rsid w:val="002548D2"/>
    <w:rsid w:val="00274B7C"/>
    <w:rsid w:val="0029522F"/>
    <w:rsid w:val="002D0A02"/>
    <w:rsid w:val="0030240D"/>
    <w:rsid w:val="003201CE"/>
    <w:rsid w:val="00346513"/>
    <w:rsid w:val="003778AF"/>
    <w:rsid w:val="0038118A"/>
    <w:rsid w:val="003866A8"/>
    <w:rsid w:val="0039106E"/>
    <w:rsid w:val="003A02B3"/>
    <w:rsid w:val="003D2142"/>
    <w:rsid w:val="003D52A9"/>
    <w:rsid w:val="003D5A8A"/>
    <w:rsid w:val="003D744C"/>
    <w:rsid w:val="003F3172"/>
    <w:rsid w:val="00404F05"/>
    <w:rsid w:val="00404FFB"/>
    <w:rsid w:val="00406AE5"/>
    <w:rsid w:val="00413FEF"/>
    <w:rsid w:val="00422202"/>
    <w:rsid w:val="004258EF"/>
    <w:rsid w:val="00434E27"/>
    <w:rsid w:val="004450D6"/>
    <w:rsid w:val="00447B60"/>
    <w:rsid w:val="00480659"/>
    <w:rsid w:val="0048680F"/>
    <w:rsid w:val="0049382A"/>
    <w:rsid w:val="004A4487"/>
    <w:rsid w:val="004A7522"/>
    <w:rsid w:val="004C4A29"/>
    <w:rsid w:val="00506F8A"/>
    <w:rsid w:val="00513689"/>
    <w:rsid w:val="00517197"/>
    <w:rsid w:val="00545B30"/>
    <w:rsid w:val="0058105F"/>
    <w:rsid w:val="005846EB"/>
    <w:rsid w:val="005A24B4"/>
    <w:rsid w:val="005D2CB1"/>
    <w:rsid w:val="005E0929"/>
    <w:rsid w:val="005F3005"/>
    <w:rsid w:val="005F74B4"/>
    <w:rsid w:val="00604F00"/>
    <w:rsid w:val="006057A4"/>
    <w:rsid w:val="006243D6"/>
    <w:rsid w:val="00626481"/>
    <w:rsid w:val="00652CF8"/>
    <w:rsid w:val="006607E7"/>
    <w:rsid w:val="006715BB"/>
    <w:rsid w:val="00676AE0"/>
    <w:rsid w:val="006C0895"/>
    <w:rsid w:val="007048D5"/>
    <w:rsid w:val="00726300"/>
    <w:rsid w:val="00732DDF"/>
    <w:rsid w:val="00784662"/>
    <w:rsid w:val="00861238"/>
    <w:rsid w:val="00870C8C"/>
    <w:rsid w:val="008A4B00"/>
    <w:rsid w:val="008B01E1"/>
    <w:rsid w:val="008B0F3F"/>
    <w:rsid w:val="008B575E"/>
    <w:rsid w:val="008F1381"/>
    <w:rsid w:val="008F7641"/>
    <w:rsid w:val="009337D0"/>
    <w:rsid w:val="009412FE"/>
    <w:rsid w:val="00953BBD"/>
    <w:rsid w:val="00962F3F"/>
    <w:rsid w:val="009743DC"/>
    <w:rsid w:val="009746B1"/>
    <w:rsid w:val="009771DB"/>
    <w:rsid w:val="00996F66"/>
    <w:rsid w:val="009A2554"/>
    <w:rsid w:val="009B2479"/>
    <w:rsid w:val="009B5E6B"/>
    <w:rsid w:val="009F35D9"/>
    <w:rsid w:val="009F7141"/>
    <w:rsid w:val="00A07905"/>
    <w:rsid w:val="00A123FA"/>
    <w:rsid w:val="00A3151E"/>
    <w:rsid w:val="00A77F3A"/>
    <w:rsid w:val="00AA2C0D"/>
    <w:rsid w:val="00AB0A68"/>
    <w:rsid w:val="00AB0BCC"/>
    <w:rsid w:val="00AC68BE"/>
    <w:rsid w:val="00AD10E6"/>
    <w:rsid w:val="00AE1327"/>
    <w:rsid w:val="00AE7BCF"/>
    <w:rsid w:val="00B13032"/>
    <w:rsid w:val="00B26F21"/>
    <w:rsid w:val="00B75D13"/>
    <w:rsid w:val="00BD0FC5"/>
    <w:rsid w:val="00C14B2F"/>
    <w:rsid w:val="00C15023"/>
    <w:rsid w:val="00C20D31"/>
    <w:rsid w:val="00C34641"/>
    <w:rsid w:val="00C35B66"/>
    <w:rsid w:val="00C50573"/>
    <w:rsid w:val="00C61544"/>
    <w:rsid w:val="00C61601"/>
    <w:rsid w:val="00C7034E"/>
    <w:rsid w:val="00C901C2"/>
    <w:rsid w:val="00CA2854"/>
    <w:rsid w:val="00CA3E0A"/>
    <w:rsid w:val="00CE0516"/>
    <w:rsid w:val="00CF37F5"/>
    <w:rsid w:val="00D24F1C"/>
    <w:rsid w:val="00D46C7B"/>
    <w:rsid w:val="00D82D87"/>
    <w:rsid w:val="00D97205"/>
    <w:rsid w:val="00D97A17"/>
    <w:rsid w:val="00DA7FB4"/>
    <w:rsid w:val="00DC0CC4"/>
    <w:rsid w:val="00DC7E9E"/>
    <w:rsid w:val="00DD1EA0"/>
    <w:rsid w:val="00E10FF5"/>
    <w:rsid w:val="00E47F66"/>
    <w:rsid w:val="00E65F65"/>
    <w:rsid w:val="00EA52F5"/>
    <w:rsid w:val="00EC0F20"/>
    <w:rsid w:val="00F2021B"/>
    <w:rsid w:val="00F2276D"/>
    <w:rsid w:val="00F22B1A"/>
    <w:rsid w:val="00F615F0"/>
    <w:rsid w:val="00F7091B"/>
    <w:rsid w:val="00F92681"/>
    <w:rsid w:val="00F95C77"/>
    <w:rsid w:val="00FA5DAC"/>
    <w:rsid w:val="00FB6BC9"/>
    <w:rsid w:val="00FD470F"/>
    <w:rsid w:val="01374E54"/>
    <w:rsid w:val="02F23728"/>
    <w:rsid w:val="03196F07"/>
    <w:rsid w:val="03AA4003"/>
    <w:rsid w:val="04787C5D"/>
    <w:rsid w:val="0656788B"/>
    <w:rsid w:val="0676641E"/>
    <w:rsid w:val="068723D9"/>
    <w:rsid w:val="06AC1E40"/>
    <w:rsid w:val="07C136C9"/>
    <w:rsid w:val="07C84A57"/>
    <w:rsid w:val="07E07FF3"/>
    <w:rsid w:val="08760957"/>
    <w:rsid w:val="097C1F9D"/>
    <w:rsid w:val="099F5C8C"/>
    <w:rsid w:val="0ACB4F8A"/>
    <w:rsid w:val="0BB91287"/>
    <w:rsid w:val="0D374B59"/>
    <w:rsid w:val="0E4F5ED2"/>
    <w:rsid w:val="0EA31D7A"/>
    <w:rsid w:val="1025513D"/>
    <w:rsid w:val="10B85FB1"/>
    <w:rsid w:val="11E76422"/>
    <w:rsid w:val="123F625E"/>
    <w:rsid w:val="126B0E01"/>
    <w:rsid w:val="141A663B"/>
    <w:rsid w:val="145D29CB"/>
    <w:rsid w:val="15A765F4"/>
    <w:rsid w:val="15D572D3"/>
    <w:rsid w:val="162163A6"/>
    <w:rsid w:val="16B54D41"/>
    <w:rsid w:val="177E15D6"/>
    <w:rsid w:val="17CC40F0"/>
    <w:rsid w:val="185C1918"/>
    <w:rsid w:val="19193365"/>
    <w:rsid w:val="19397563"/>
    <w:rsid w:val="19CE05F3"/>
    <w:rsid w:val="19DF45AE"/>
    <w:rsid w:val="1A0062D3"/>
    <w:rsid w:val="1A051B3B"/>
    <w:rsid w:val="1A911621"/>
    <w:rsid w:val="1AA2382E"/>
    <w:rsid w:val="1B3A3A66"/>
    <w:rsid w:val="1C2564C4"/>
    <w:rsid w:val="1CA70C88"/>
    <w:rsid w:val="1CD53A47"/>
    <w:rsid w:val="1E432C32"/>
    <w:rsid w:val="1E6A4663"/>
    <w:rsid w:val="1F2D7B6A"/>
    <w:rsid w:val="200F101E"/>
    <w:rsid w:val="209854B7"/>
    <w:rsid w:val="211014F1"/>
    <w:rsid w:val="23A14683"/>
    <w:rsid w:val="245060A9"/>
    <w:rsid w:val="24D40A88"/>
    <w:rsid w:val="256C2A6E"/>
    <w:rsid w:val="26926505"/>
    <w:rsid w:val="283C7070"/>
    <w:rsid w:val="2A353D77"/>
    <w:rsid w:val="2A44045E"/>
    <w:rsid w:val="2A895E70"/>
    <w:rsid w:val="2AEF03C9"/>
    <w:rsid w:val="2C1F4CDE"/>
    <w:rsid w:val="2CA43435"/>
    <w:rsid w:val="2CF9108B"/>
    <w:rsid w:val="2D067C4C"/>
    <w:rsid w:val="2D391DD0"/>
    <w:rsid w:val="2D5B1D46"/>
    <w:rsid w:val="2D986AF6"/>
    <w:rsid w:val="2DD438A6"/>
    <w:rsid w:val="2E7B1F74"/>
    <w:rsid w:val="2E980D78"/>
    <w:rsid w:val="2EF266DA"/>
    <w:rsid w:val="2FE73D65"/>
    <w:rsid w:val="31D125D7"/>
    <w:rsid w:val="32171FB4"/>
    <w:rsid w:val="341E7629"/>
    <w:rsid w:val="34C12DD7"/>
    <w:rsid w:val="354B26A0"/>
    <w:rsid w:val="35521C81"/>
    <w:rsid w:val="358D0F0B"/>
    <w:rsid w:val="3672093F"/>
    <w:rsid w:val="36AF4EB1"/>
    <w:rsid w:val="36C4095C"/>
    <w:rsid w:val="37182A56"/>
    <w:rsid w:val="378254C0"/>
    <w:rsid w:val="37A2729C"/>
    <w:rsid w:val="38D64977"/>
    <w:rsid w:val="39F23A32"/>
    <w:rsid w:val="3A347BA7"/>
    <w:rsid w:val="3C874987"/>
    <w:rsid w:val="3CD3024B"/>
    <w:rsid w:val="3DC73AF0"/>
    <w:rsid w:val="3EB219E2"/>
    <w:rsid w:val="40DC68A2"/>
    <w:rsid w:val="40E51BFB"/>
    <w:rsid w:val="42FF2D1C"/>
    <w:rsid w:val="43884ABF"/>
    <w:rsid w:val="43CA332A"/>
    <w:rsid w:val="449A71A0"/>
    <w:rsid w:val="45857508"/>
    <w:rsid w:val="45C81AEB"/>
    <w:rsid w:val="46132D66"/>
    <w:rsid w:val="4645313C"/>
    <w:rsid w:val="465F41FD"/>
    <w:rsid w:val="46ED1809"/>
    <w:rsid w:val="47046B53"/>
    <w:rsid w:val="472D7E58"/>
    <w:rsid w:val="473236C0"/>
    <w:rsid w:val="47754C00"/>
    <w:rsid w:val="478F28C0"/>
    <w:rsid w:val="48DD765B"/>
    <w:rsid w:val="49423962"/>
    <w:rsid w:val="4948541D"/>
    <w:rsid w:val="4977185E"/>
    <w:rsid w:val="49BC3715"/>
    <w:rsid w:val="4A176B9D"/>
    <w:rsid w:val="4A513E5D"/>
    <w:rsid w:val="4AA85FAA"/>
    <w:rsid w:val="4C431ECB"/>
    <w:rsid w:val="4D814A59"/>
    <w:rsid w:val="4E571C5E"/>
    <w:rsid w:val="50A70C7B"/>
    <w:rsid w:val="52756B57"/>
    <w:rsid w:val="52A336C4"/>
    <w:rsid w:val="55344AA7"/>
    <w:rsid w:val="55825812"/>
    <w:rsid w:val="558E065B"/>
    <w:rsid w:val="568D0913"/>
    <w:rsid w:val="56B51C18"/>
    <w:rsid w:val="575B456D"/>
    <w:rsid w:val="57AD28EF"/>
    <w:rsid w:val="57D60097"/>
    <w:rsid w:val="57D61E46"/>
    <w:rsid w:val="58403763"/>
    <w:rsid w:val="58EB36CF"/>
    <w:rsid w:val="5934151A"/>
    <w:rsid w:val="594C2225"/>
    <w:rsid w:val="5A1D1FAE"/>
    <w:rsid w:val="5B661732"/>
    <w:rsid w:val="5BEA4111"/>
    <w:rsid w:val="5C5617A7"/>
    <w:rsid w:val="5C6414D7"/>
    <w:rsid w:val="5D804D2D"/>
    <w:rsid w:val="5E623438"/>
    <w:rsid w:val="5EC7698C"/>
    <w:rsid w:val="5EDA046D"/>
    <w:rsid w:val="5EF3152F"/>
    <w:rsid w:val="6131633F"/>
    <w:rsid w:val="613A51F3"/>
    <w:rsid w:val="619C5EAE"/>
    <w:rsid w:val="61FB0E26"/>
    <w:rsid w:val="62410803"/>
    <w:rsid w:val="62A52B40"/>
    <w:rsid w:val="65091AAC"/>
    <w:rsid w:val="65BD4645"/>
    <w:rsid w:val="662D3578"/>
    <w:rsid w:val="667B0788"/>
    <w:rsid w:val="66E005EB"/>
    <w:rsid w:val="66EA76BB"/>
    <w:rsid w:val="674A63AC"/>
    <w:rsid w:val="67E73BFB"/>
    <w:rsid w:val="696A6892"/>
    <w:rsid w:val="696C43B8"/>
    <w:rsid w:val="6A107439"/>
    <w:rsid w:val="6B014FD4"/>
    <w:rsid w:val="6B7B6B34"/>
    <w:rsid w:val="6B916358"/>
    <w:rsid w:val="6BF15810"/>
    <w:rsid w:val="6C24541E"/>
    <w:rsid w:val="6E9E14B7"/>
    <w:rsid w:val="6F5B1156"/>
    <w:rsid w:val="6FF670D1"/>
    <w:rsid w:val="6FF84BF7"/>
    <w:rsid w:val="70A408DB"/>
    <w:rsid w:val="714D0F73"/>
    <w:rsid w:val="71D945B4"/>
    <w:rsid w:val="72255A4C"/>
    <w:rsid w:val="72CB03A1"/>
    <w:rsid w:val="73090EC9"/>
    <w:rsid w:val="745F66ED"/>
    <w:rsid w:val="754E52B9"/>
    <w:rsid w:val="76E61C4D"/>
    <w:rsid w:val="79B06543"/>
    <w:rsid w:val="79DF4732"/>
    <w:rsid w:val="7A195E96"/>
    <w:rsid w:val="7BEC1388"/>
    <w:rsid w:val="7C5E5DE2"/>
    <w:rsid w:val="7D67516A"/>
    <w:rsid w:val="7D831878"/>
    <w:rsid w:val="7D957F29"/>
    <w:rsid w:val="7DEE13E8"/>
    <w:rsid w:val="7E2272E3"/>
    <w:rsid w:val="7FD648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DF2EB1D"/>
  <w15:docId w15:val="{A8C33A78-7C85-435D-843F-EE43E26D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jc w:val="center"/>
      <w:outlineLvl w:val="0"/>
    </w:pPr>
    <w:rPr>
      <w:b/>
      <w:bCs/>
      <w:sz w:val="24"/>
      <w:szCs w:val="20"/>
    </w:rPr>
  </w:style>
  <w:style w:type="paragraph" w:styleId="20">
    <w:name w:val="heading 2"/>
    <w:basedOn w:val="a"/>
    <w:next w:val="a"/>
    <w:link w:val="21"/>
    <w:unhideWhenUsed/>
    <w:qFormat/>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link w:val="22"/>
    <w:unhideWhenUsed/>
    <w:qFormat/>
    <w:pPr>
      <w:ind w:firstLineChars="200" w:firstLine="420"/>
    </w:pPr>
  </w:style>
  <w:style w:type="paragraph" w:styleId="a3">
    <w:name w:val="Body Text Indent"/>
    <w:basedOn w:val="a"/>
    <w:next w:val="font5"/>
    <w:link w:val="a5"/>
    <w:uiPriority w:val="99"/>
    <w:semiHidden/>
    <w:unhideWhenUsed/>
    <w:pPr>
      <w:spacing w:after="120"/>
      <w:ind w:leftChars="200" w:left="420"/>
    </w:p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styleId="a4">
    <w:name w:val="Normal Indent"/>
    <w:basedOn w:val="a"/>
    <w:uiPriority w:val="99"/>
    <w:qFormat/>
    <w:pPr>
      <w:widowControl/>
      <w:ind w:firstLine="420"/>
      <w:jc w:val="left"/>
    </w:pPr>
    <w:rPr>
      <w:kern w:val="0"/>
      <w:sz w:val="20"/>
      <w:szCs w:val="20"/>
    </w:rPr>
  </w:style>
  <w:style w:type="paragraph" w:styleId="3">
    <w:name w:val="List 3"/>
    <w:basedOn w:val="a"/>
    <w:qFormat/>
    <w:pPr>
      <w:ind w:leftChars="400" w:left="100" w:hangingChars="200" w:hanging="200"/>
      <w:contextualSpacing/>
    </w:pPr>
  </w:style>
  <w:style w:type="paragraph" w:styleId="a6">
    <w:name w:val="caption"/>
    <w:basedOn w:val="a"/>
    <w:next w:val="a"/>
    <w:qFormat/>
    <w:pPr>
      <w:spacing w:before="152" w:after="160"/>
    </w:pPr>
    <w:rPr>
      <w:rFonts w:ascii="Arial" w:eastAsia="黑体" w:hAnsi="Arial" w:cs="Arial"/>
      <w:sz w:val="20"/>
      <w:szCs w:val="20"/>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List"/>
    <w:basedOn w:val="a"/>
    <w:qFormat/>
    <w:pPr>
      <w:ind w:left="200" w:hangingChars="200" w:hanging="200"/>
    </w:pPr>
  </w:style>
  <w:style w:type="paragraph" w:styleId="ae">
    <w:name w:val="Normal (Web)"/>
    <w:basedOn w:val="a"/>
    <w:qFormat/>
    <w:pPr>
      <w:widowControl/>
      <w:spacing w:before="100" w:after="100"/>
      <w:jc w:val="left"/>
    </w:pPr>
    <w:rPr>
      <w:rFonts w:ascii="宋体" w:hAnsi="宋体"/>
      <w:kern w:val="0"/>
      <w:sz w:val="24"/>
      <w:szCs w:val="20"/>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qFormat/>
    <w:rPr>
      <w:color w:val="0000FF"/>
      <w:u w:val="single"/>
    </w:rPr>
  </w:style>
  <w:style w:type="character" w:customStyle="1" w:styleId="10">
    <w:name w:val="标题 1 字符"/>
    <w:basedOn w:val="a0"/>
    <w:link w:val="1"/>
    <w:qFormat/>
    <w:rPr>
      <w:rFonts w:ascii="Times New Roman" w:eastAsia="宋体" w:hAnsi="Times New Roman" w:cs="Times New Roman"/>
      <w:b/>
      <w:bCs/>
      <w:sz w:val="24"/>
      <w:szCs w:val="20"/>
    </w:rPr>
  </w:style>
  <w:style w:type="character" w:customStyle="1" w:styleId="21">
    <w:name w:val="标题 2 字符"/>
    <w:basedOn w:val="a0"/>
    <w:link w:val="20"/>
    <w:qFormat/>
    <w:rPr>
      <w:rFonts w:ascii="Arial" w:eastAsia="宋体" w:hAnsi="Arial" w:cs="Times New Roman"/>
      <w:b/>
      <w:bCs/>
      <w:sz w:val="24"/>
      <w:szCs w:val="32"/>
    </w:rPr>
  </w:style>
  <w:style w:type="character" w:customStyle="1" w:styleId="a5">
    <w:name w:val="正文文本缩进 字符"/>
    <w:basedOn w:val="a0"/>
    <w:link w:val="a3"/>
    <w:uiPriority w:val="99"/>
    <w:semiHidden/>
    <w:qFormat/>
    <w:rPr>
      <w:rFonts w:ascii="Times New Roman" w:eastAsia="宋体" w:hAnsi="Times New Roman" w:cs="Times New Roman"/>
      <w:szCs w:val="24"/>
    </w:rPr>
  </w:style>
  <w:style w:type="character" w:customStyle="1" w:styleId="22">
    <w:name w:val="正文文本首行缩进 2 字符"/>
    <w:basedOn w:val="a5"/>
    <w:link w:val="2"/>
    <w:qFormat/>
    <w:rPr>
      <w:rFonts w:ascii="Times New Roman" w:eastAsia="宋体" w:hAnsi="Times New Roman" w:cs="Times New Roman"/>
      <w:szCs w:val="24"/>
    </w:rPr>
  </w:style>
  <w:style w:type="paragraph" w:styleId="af1">
    <w:name w:val="List Paragraph"/>
    <w:basedOn w:val="a"/>
    <w:uiPriority w:val="34"/>
    <w:qFormat/>
    <w:pPr>
      <w:ind w:firstLineChars="200" w:firstLine="420"/>
    </w:pPr>
  </w:style>
  <w:style w:type="character" w:customStyle="1" w:styleId="aa">
    <w:name w:val="页脚 字符"/>
    <w:link w:val="a9"/>
    <w:qFormat/>
    <w:rPr>
      <w:rFonts w:eastAsia="宋体"/>
      <w:sz w:val="18"/>
      <w:szCs w:val="18"/>
    </w:rPr>
  </w:style>
  <w:style w:type="character" w:customStyle="1" w:styleId="11">
    <w:name w:val="页脚 字符1"/>
    <w:basedOn w:val="a0"/>
    <w:uiPriority w:val="99"/>
    <w:semiHidden/>
    <w:qFormat/>
    <w:rPr>
      <w:rFonts w:ascii="Times New Roman" w:eastAsia="宋体" w:hAnsi="Times New Roman" w:cs="Times New Roman"/>
      <w:sz w:val="18"/>
      <w:szCs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晓利 魏</cp:lastModifiedBy>
  <cp:revision>7</cp:revision>
  <dcterms:created xsi:type="dcterms:W3CDTF">2019-12-31T05:11:00Z</dcterms:created>
  <dcterms:modified xsi:type="dcterms:W3CDTF">2024-06-11T04:35:00Z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CD8D25DD887E4D9A91714EF932E1450F_13</vt:lpwstr>
  </property>
</Properties>
</file>